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cs="宋体"/>
          <w:b/>
          <w:color w:val="auto"/>
          <w:sz w:val="44"/>
          <w:szCs w:val="44"/>
          <w:highlight w:val="none"/>
        </w:rPr>
        <w:t>南通兴东国际机场</w:t>
      </w:r>
      <w:r>
        <w:rPr>
          <w:rFonts w:hint="eastAsia" w:ascii="宋体" w:hAnsi="宋体" w:cs="宋体"/>
          <w:b/>
          <w:color w:val="auto"/>
          <w:sz w:val="44"/>
          <w:szCs w:val="44"/>
          <w:highlight w:val="none"/>
          <w:lang w:val="en-US" w:eastAsia="zh-CN"/>
        </w:rPr>
        <w:t>旅客登机桥</w:t>
      </w:r>
      <w:r>
        <w:rPr>
          <w:rFonts w:hint="eastAsia" w:ascii="宋体" w:hAnsi="宋体" w:cs="宋体"/>
          <w:b/>
          <w:color w:val="auto"/>
          <w:sz w:val="44"/>
          <w:szCs w:val="44"/>
          <w:highlight w:val="none"/>
          <w:lang w:eastAsia="zh-CN"/>
        </w:rPr>
        <w:t>维保服务</w:t>
      </w:r>
      <w:r>
        <w:rPr>
          <w:rFonts w:hint="eastAsia" w:ascii="宋体" w:hAnsi="宋体" w:cs="宋体"/>
          <w:b/>
          <w:color w:val="auto"/>
          <w:sz w:val="44"/>
          <w:szCs w:val="44"/>
          <w:highlight w:val="none"/>
        </w:rPr>
        <w:t>项目</w:t>
      </w:r>
    </w:p>
    <w:p>
      <w:pPr>
        <w:keepNext w:val="0"/>
        <w:keepLines w:val="0"/>
        <w:pageBreakBefore w:val="0"/>
        <w:widowControl w:val="0"/>
        <w:kinsoku/>
        <w:wordWrap/>
        <w:overflowPunct/>
        <w:topLinePunct w:val="0"/>
        <w:autoSpaceDE/>
        <w:autoSpaceDN/>
        <w:bidi w:val="0"/>
        <w:adjustRightInd/>
        <w:snapToGrid/>
        <w:ind w:left="0" w:leftChars="0" w:right="0" w:rightChars="0" w:firstLine="883" w:firstLineChars="200"/>
        <w:jc w:val="center"/>
        <w:textAlignment w:val="auto"/>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招标</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招标</w:t>
      </w:r>
      <w:r>
        <w:rPr>
          <w:rFonts w:hint="eastAsia" w:ascii="黑体" w:hAnsi="黑体" w:eastAsia="黑体"/>
          <w:sz w:val="30"/>
          <w:szCs w:val="30"/>
          <w:highlight w:val="none"/>
        </w:rPr>
        <w:t>公告</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color w:val="auto"/>
          <w:highlight w:val="none"/>
          <w:shd w:val="clear" w:color="auto" w:fill="FFFFFF"/>
          <w:lang w:eastAsia="zh-CN"/>
        </w:rPr>
        <w:t>南通机场集团有限公司</w:t>
      </w:r>
      <w:r>
        <w:rPr>
          <w:rFonts w:hint="eastAsia" w:ascii="仿宋" w:hAnsi="仿宋" w:eastAsia="仿宋" w:cs="仿宋"/>
          <w:highlight w:val="none"/>
          <w:shd w:val="clear" w:color="auto" w:fill="FFFFFF"/>
          <w:lang w:val="en-US" w:eastAsia="zh-CN"/>
        </w:rPr>
        <w:t>通过公开招标方式</w:t>
      </w:r>
      <w:r>
        <w:rPr>
          <w:rFonts w:hint="eastAsia" w:ascii="仿宋" w:hAnsi="仿宋" w:eastAsia="仿宋" w:cs="仿宋"/>
          <w:highlight w:val="none"/>
          <w:shd w:val="clear" w:color="auto" w:fill="FFFFFF"/>
        </w:rPr>
        <w:t>采购</w:t>
      </w:r>
      <w:r>
        <w:rPr>
          <w:rFonts w:hint="eastAsia" w:ascii="仿宋" w:hAnsi="仿宋" w:eastAsia="仿宋" w:cs="仿宋"/>
          <w:color w:val="auto"/>
          <w:highlight w:val="none"/>
          <w:shd w:val="clear" w:color="auto" w:fill="FFFFFF"/>
          <w:lang w:val="en-US" w:eastAsia="zh-CN"/>
        </w:rPr>
        <w:t>旅客登机桥</w:t>
      </w:r>
      <w:r>
        <w:rPr>
          <w:rFonts w:hint="eastAsia" w:ascii="仿宋" w:hAnsi="仿宋" w:eastAsia="仿宋" w:cs="仿宋"/>
          <w:color w:val="auto"/>
          <w:highlight w:val="none"/>
          <w:shd w:val="clear" w:color="auto" w:fill="FFFFFF"/>
          <w:lang w:eastAsia="zh-CN"/>
        </w:rPr>
        <w:t>维保服务，</w:t>
      </w:r>
      <w:r>
        <w:rPr>
          <w:rFonts w:hint="eastAsia" w:ascii="仿宋" w:hAnsi="仿宋" w:eastAsia="仿宋" w:cs="仿宋"/>
          <w:highlight w:val="none"/>
          <w:shd w:val="clear" w:color="auto" w:fill="FFFFFF"/>
        </w:rPr>
        <w:t>邀请符合条件的供应商参加。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color w:val="auto"/>
          <w:highlight w:val="none"/>
          <w:shd w:val="clear" w:color="auto" w:fill="FFFFFF"/>
          <w:lang w:val="en-US" w:eastAsia="zh-CN"/>
        </w:rPr>
        <w:t>JCJT</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FW</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2024071</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rPr>
        <w:t>项目名称：</w:t>
      </w:r>
      <w:r>
        <w:rPr>
          <w:rFonts w:hint="eastAsia" w:ascii="仿宋" w:hAnsi="仿宋" w:eastAsia="仿宋" w:cs="仿宋"/>
          <w:color w:val="auto"/>
          <w:highlight w:val="none"/>
          <w:shd w:val="clear" w:color="auto" w:fill="FFFFFF"/>
        </w:rPr>
        <w:t>南通兴东国际机场</w:t>
      </w:r>
      <w:r>
        <w:rPr>
          <w:rFonts w:hint="eastAsia" w:ascii="仿宋" w:hAnsi="仿宋" w:eastAsia="仿宋" w:cs="仿宋"/>
          <w:color w:val="auto"/>
          <w:highlight w:val="none"/>
          <w:shd w:val="clear" w:color="auto" w:fill="FFFFFF"/>
          <w:lang w:val="en-US" w:eastAsia="zh-CN"/>
        </w:rPr>
        <w:t>旅客登机桥</w:t>
      </w:r>
      <w:r>
        <w:rPr>
          <w:rFonts w:hint="eastAsia" w:ascii="仿宋" w:hAnsi="仿宋" w:eastAsia="仿宋" w:cs="仿宋"/>
          <w:color w:val="auto"/>
          <w:highlight w:val="none"/>
          <w:shd w:val="clear" w:color="auto" w:fill="FFFFFF"/>
          <w:lang w:eastAsia="zh-CN"/>
        </w:rPr>
        <w:t>维保服务</w:t>
      </w:r>
      <w:r>
        <w:rPr>
          <w:rFonts w:hint="eastAsia" w:ascii="仿宋" w:hAnsi="仿宋" w:eastAsia="仿宋" w:cs="仿宋"/>
          <w:color w:val="auto"/>
          <w:highlight w:val="none"/>
          <w:shd w:val="clear" w:color="auto" w:fill="FFFFFF"/>
        </w:rPr>
        <w:t>项目</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w:t>
      </w:r>
      <w:r>
        <w:rPr>
          <w:rFonts w:hint="eastAsia" w:ascii="仿宋" w:hAnsi="仿宋" w:eastAsia="仿宋" w:cs="仿宋"/>
          <w:highlight w:val="none"/>
          <w:shd w:val="clear" w:color="auto" w:fill="FFFFFF"/>
          <w:lang w:eastAsia="zh-CN"/>
        </w:rPr>
        <w:t>（含税）</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eastAsia="zh-CN"/>
        </w:rPr>
        <w:t>每年固定</w:t>
      </w:r>
      <w:r>
        <w:rPr>
          <w:rFonts w:hint="eastAsia" w:ascii="仿宋" w:hAnsi="仿宋" w:eastAsia="仿宋" w:cs="仿宋"/>
          <w:highlight w:val="none"/>
          <w:shd w:val="clear" w:color="auto" w:fill="FFFFFF"/>
          <w:lang w:val="en-US" w:eastAsia="zh-CN"/>
        </w:rPr>
        <w:t>维保</w:t>
      </w:r>
      <w:r>
        <w:rPr>
          <w:rFonts w:hint="eastAsia" w:ascii="仿宋" w:hAnsi="仿宋" w:eastAsia="仿宋" w:cs="仿宋"/>
          <w:highlight w:val="none"/>
          <w:shd w:val="clear" w:color="auto" w:fill="FFFFFF"/>
          <w:lang w:eastAsia="zh-CN"/>
        </w:rPr>
        <w:t>服务费预算为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贰拾捌万</w:t>
      </w:r>
      <w:r>
        <w:rPr>
          <w:rFonts w:hint="eastAsia" w:ascii="仿宋" w:hAnsi="仿宋" w:eastAsia="仿宋" w:cs="仿宋"/>
          <w:highlight w:val="none"/>
          <w:shd w:val="clear" w:color="auto" w:fill="FFFFFF"/>
        </w:rPr>
        <w:t>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28万元/年</w:t>
      </w:r>
      <w:r>
        <w:rPr>
          <w:rFonts w:hint="eastAsia" w:ascii="仿宋" w:hAnsi="仿宋" w:eastAsia="仿宋" w:cs="仿宋"/>
          <w:highlight w:val="none"/>
          <w:shd w:val="clear" w:color="auto" w:fill="FFFFFF"/>
          <w:lang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w:t>
      </w:r>
      <w:r>
        <w:rPr>
          <w:rFonts w:hint="eastAsia" w:ascii="仿宋" w:hAnsi="仿宋" w:eastAsia="仿宋" w:cs="仿宋"/>
          <w:highlight w:val="none"/>
          <w:shd w:val="clear" w:color="auto" w:fill="FFFFFF"/>
          <w:lang w:eastAsia="zh-CN"/>
        </w:rPr>
        <w:t>南通兴东国际机场</w:t>
      </w:r>
      <w:r>
        <w:rPr>
          <w:rFonts w:hint="eastAsia" w:ascii="仿宋" w:hAnsi="仿宋" w:eastAsia="仿宋" w:cs="仿宋"/>
          <w:highlight w:val="none"/>
          <w:shd w:val="clear" w:color="auto" w:fill="FFFFFF"/>
          <w:lang w:val="en-US" w:eastAsia="zh-CN"/>
        </w:rPr>
        <w:t>T3航站楼11座由深圳中集天达空港设备有限公司生产的电液混合式旅客登机桥，详见第三章项目需求。</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资质条件：投标人具有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val="0"/>
          <w:kern w:val="0"/>
          <w:sz w:val="24"/>
          <w:szCs w:val="24"/>
          <w:highlight w:val="none"/>
          <w:shd w:val="clear" w:color="auto" w:fill="FFFFFF"/>
          <w:lang w:val="en-US" w:eastAsia="zh-CN" w:bidi="ar-SA"/>
        </w:rPr>
      </w:pPr>
      <w:r>
        <w:rPr>
          <w:rFonts w:hint="eastAsia" w:ascii="仿宋" w:hAnsi="仿宋" w:eastAsia="仿宋" w:cs="仿宋"/>
          <w:b w:val="0"/>
          <w:bCs w:val="0"/>
          <w:kern w:val="0"/>
          <w:sz w:val="24"/>
          <w:szCs w:val="24"/>
          <w:highlight w:val="none"/>
          <w:shd w:val="clear" w:color="auto" w:fill="FFFFFF"/>
          <w:lang w:val="en-US" w:eastAsia="zh-CN" w:bidi="ar-SA"/>
        </w:rPr>
        <w:t>2、财务要求：投标人具有健全的财务会计制度（提供2023年经审计的财务报告，加盖公章）；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、商业信誉：投标人具有良好的商业信誉，未被信用中国等信用媒体列入失信被执行人、企业经营异常名录、重大税收违法案件当事人名单、政府采购严重违法失信名单、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b w:val="0"/>
          <w:bCs w:val="0"/>
          <w:highlight w:val="none"/>
          <w:shd w:val="clear" w:color="auto" w:fill="FFFFFF"/>
          <w:lang w:eastAsia="zh-CN"/>
        </w:rPr>
        <w:t>（本项由投标人提供证明材料，加盖公章）；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4、履约能力：</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4.1</w:t>
      </w:r>
      <w:r>
        <w:rPr>
          <w:rFonts w:hint="eastAsia" w:ascii="仿宋" w:hAnsi="仿宋" w:eastAsia="仿宋" w:cs="仿宋"/>
          <w:sz w:val="24"/>
          <w:szCs w:val="24"/>
          <w:highlight w:val="none"/>
          <w:shd w:val="clear" w:color="auto" w:fill="FFFFFF"/>
          <w:lang w:val="en-US" w:eastAsia="zh-CN"/>
        </w:rPr>
        <w:t>提供自2021年1月1日以来独立承担过单个项目至少包含5座电液混合式旅客登机桥维保的业绩（提供</w:t>
      </w:r>
      <w:r>
        <w:rPr>
          <w:rFonts w:hint="eastAsia" w:ascii="仿宋" w:hAnsi="仿宋" w:eastAsia="仿宋" w:cs="仿宋"/>
          <w:color w:val="auto"/>
          <w:highlight w:val="none"/>
          <w:shd w:val="clear" w:color="auto" w:fill="FFFFFF"/>
          <w:lang w:val="en-US" w:eastAsia="zh-CN"/>
        </w:rPr>
        <w:t>合同复印件及对应的服务发票</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sz w:val="24"/>
          <w:szCs w:val="24"/>
          <w:highlight w:val="none"/>
          <w:shd w:val="clear" w:color="auto" w:fill="FFFFFF"/>
          <w:lang w:val="en-US" w:eastAsia="zh-CN"/>
        </w:rPr>
        <w:t>）</w:t>
      </w:r>
      <w:r>
        <w:rPr>
          <w:rFonts w:hint="eastAsia" w:ascii="仿宋" w:hAnsi="仿宋" w:eastAsia="仿宋" w:cs="仿宋"/>
          <w:b w:val="0"/>
          <w:bCs w:val="0"/>
          <w:highlight w:val="none"/>
          <w:shd w:val="clear" w:color="auto" w:fill="FFFFFF"/>
          <w:lang w:val="en-US"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color w:val="auto"/>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4.2</w:t>
      </w:r>
      <w:r>
        <w:rPr>
          <w:rFonts w:hint="eastAsia" w:ascii="仿宋" w:hAnsi="仿宋" w:eastAsia="仿宋" w:cs="仿宋"/>
          <w:color w:val="auto"/>
          <w:highlight w:val="none"/>
          <w:shd w:val="clear" w:color="auto" w:fill="FFFFFF"/>
          <w:lang w:val="en-US" w:eastAsia="zh-CN"/>
        </w:rPr>
        <w:t>服务于本项目的项目负责人须具备三年及以上旅客登机桥维保管理经验（提供工作经验证明材料、劳动合同、身份证及</w:t>
      </w:r>
      <w:r>
        <w:rPr>
          <w:rFonts w:hint="eastAsia" w:ascii="仿宋" w:hAnsi="仿宋" w:eastAsia="仿宋" w:cs="仿宋"/>
          <w:color w:val="auto"/>
          <w:kern w:val="0"/>
          <w:sz w:val="24"/>
          <w:szCs w:val="24"/>
          <w:highlight w:val="none"/>
          <w:shd w:val="clear" w:color="auto" w:fill="FFFFFF"/>
          <w:lang w:val="en-US" w:eastAsia="zh-CN" w:bidi="ar-SA"/>
        </w:rPr>
        <w:t>投标人于2024年3月-5月连续三个月为其缴纳的社保证明材料</w:t>
      </w:r>
      <w:r>
        <w:rPr>
          <w:rFonts w:hint="eastAsia" w:ascii="仿宋" w:hAnsi="仿宋" w:eastAsia="仿宋" w:cs="仿宋"/>
          <w:color w:val="auto"/>
          <w:highlight w:val="none"/>
          <w:shd w:val="clear" w:color="auto" w:fill="FFFFFF"/>
          <w:lang w:val="en-US"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有依法缴纳税收和社会保障资金的良好记录（提供开标前三个月的缴纳税收和社会保障资金的记录材料，加盖公章）；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2、采购文件获取方法：在南通兴东国际机场官网上自行下载。</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8月13</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val="en-US" w:eastAsia="zh-CN"/>
        </w:rPr>
        <w:t>【上午10:00】</w:t>
      </w:r>
      <w:r>
        <w:rPr>
          <w:rFonts w:hint="eastAsia" w:ascii="仿宋" w:hAnsi="仿宋" w:eastAsia="仿宋" w:cs="仿宋"/>
          <w:highlight w:val="none"/>
          <w:shd w:val="clear" w:color="auto" w:fill="FFFFFF"/>
          <w:lang w:val="zh-CN" w:eastAsia="zh-CN"/>
        </w:rPr>
        <w:t>（开标时间同上）；</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室（开标地点同上）；</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3、文件递交方式：邮寄递交（不见面开标）；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4、逾期送达的或者未送达指定地点的投标文件，招标人不予受理。</w:t>
      </w:r>
      <w:r>
        <w:rPr>
          <w:rFonts w:hint="eastAsia" w:ascii="仿宋" w:hAnsi="仿宋" w:eastAsia="仿宋" w:cs="仿宋"/>
          <w:highlight w:val="none"/>
          <w:shd w:val="clear" w:color="auto" w:fill="FFFFFF"/>
          <w:lang w:val="zh-CN"/>
        </w:rPr>
        <w:t> </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本次采购公告在南通兴东国际机场官网上发布 </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zh-CN" w:eastAsia="zh-CN"/>
        </w:rPr>
        <w:t>杨蓓娟</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电话：0513-86860217</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zh-CN"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zh-CN" w:eastAsia="zh-CN"/>
        </w:rPr>
        <w:t>431</w:t>
      </w:r>
      <w:r>
        <w:rPr>
          <w:rFonts w:hint="eastAsia" w:ascii="仿宋" w:hAnsi="仿宋" w:eastAsia="仿宋" w:cs="仿宋"/>
          <w:highlight w:val="none"/>
          <w:shd w:val="clear" w:color="auto" w:fill="FFFFFF"/>
          <w:lang w:val="zh-CN"/>
        </w:rPr>
        <w:t>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 xml:space="preserve">技术咨询 </w:t>
      </w:r>
      <w:r>
        <w:rPr>
          <w:rFonts w:hint="eastAsia" w:ascii="仿宋" w:hAnsi="仿宋" w:eastAsia="仿宋" w:cs="仿宋"/>
          <w:highlight w:val="none"/>
          <w:shd w:val="clear" w:color="auto" w:fill="FFFFFF"/>
          <w:lang w:val="en-US" w:eastAsia="zh-CN"/>
        </w:rPr>
        <w:t xml:space="preserve">张增峰 </w:t>
      </w:r>
      <w:r>
        <w:rPr>
          <w:rFonts w:hint="eastAsia" w:ascii="仿宋" w:hAnsi="仿宋" w:eastAsia="仿宋" w:cs="仿宋"/>
          <w:highlight w:val="none"/>
          <w:shd w:val="clear" w:color="auto" w:fill="FFFFFF"/>
          <w:lang w:val="zh-CN"/>
        </w:rPr>
        <w:t>电话：13584710355</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采购监督 陈家辉 电话：0513-86</w:t>
      </w:r>
      <w:r>
        <w:rPr>
          <w:rFonts w:hint="eastAsia" w:ascii="仿宋" w:hAnsi="仿宋" w:eastAsia="仿宋" w:cs="仿宋"/>
          <w:highlight w:val="none"/>
          <w:shd w:val="clear" w:color="auto" w:fill="FFFFFF"/>
          <w:lang w:val="zh-CN" w:eastAsia="zh-CN"/>
        </w:rPr>
        <w:t>860032</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040" w:firstLineChars="21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760" w:firstLineChars="24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2024年7月</w:t>
      </w:r>
      <w:r>
        <w:rPr>
          <w:rFonts w:hint="eastAsia" w:ascii="仿宋" w:hAnsi="仿宋" w:eastAsia="仿宋" w:cs="仿宋"/>
          <w:highlight w:val="none"/>
          <w:shd w:val="clear" w:color="auto" w:fill="FFFFFF"/>
          <w:lang w:val="en-US" w:eastAsia="zh-CN"/>
        </w:rPr>
        <w:t>16</w:t>
      </w:r>
      <w:bookmarkStart w:id="1" w:name="_GoBack"/>
      <w:bookmarkEnd w:id="1"/>
      <w:r>
        <w:rPr>
          <w:rFonts w:hint="eastAsia" w:ascii="仿宋" w:hAnsi="仿宋" w:eastAsia="仿宋" w:cs="仿宋"/>
          <w:highlight w:val="none"/>
          <w:shd w:val="clear" w:color="auto" w:fill="FFFFFF"/>
          <w:lang w:val="zh-CN" w:eastAsia="zh-CN"/>
        </w:rPr>
        <w:t>日</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投标人应仔细阅读和检查招标文件的全部内容。如发现缺页或附件不全，应及时向招标人提出，以便补齐。如有疑问，应在开标前以质疑函要求招标人对招标文件予以澄清。</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15</w:t>
      </w:r>
      <w:r>
        <w:rPr>
          <w:rFonts w:hint="eastAsia" w:ascii="仿宋" w:hAnsi="仿宋" w:eastAsia="仿宋" w:cs="仿宋"/>
          <w:highlight w:val="none"/>
          <w:shd w:val="clear" w:color="auto" w:fill="FFFFFF"/>
          <w:lang w:val="zh-CN" w:eastAsia="zh-CN"/>
        </w:rPr>
        <w:t>天，</w:t>
      </w:r>
      <w:r>
        <w:rPr>
          <w:rFonts w:hint="eastAsia" w:ascii="仿宋" w:hAnsi="仿宋" w:eastAsia="仿宋" w:cs="仿宋"/>
          <w:highlight w:val="none"/>
          <w:shd w:val="clear" w:color="auto" w:fill="FFFFFF"/>
          <w:lang w:val="en-US" w:eastAsia="zh-CN"/>
        </w:rPr>
        <w:t>招标人</w:t>
      </w:r>
      <w:r>
        <w:rPr>
          <w:rFonts w:hint="eastAsia" w:ascii="仿宋" w:hAnsi="仿宋" w:eastAsia="仿宋" w:cs="仿宋"/>
          <w:highlight w:val="none"/>
          <w:shd w:val="clear" w:color="auto" w:fill="FFFFFF"/>
          <w:lang w:val="zh-CN" w:eastAsia="zh-CN"/>
        </w:rPr>
        <w:t>相应延长投标截止时间。</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3、招标文件的修改和澄清将在</w:t>
      </w:r>
      <w:r>
        <w:rPr>
          <w:rFonts w:hint="eastAsia" w:ascii="仿宋" w:hAnsi="仿宋" w:eastAsia="仿宋" w:cs="仿宋"/>
          <w:highlight w:val="none"/>
          <w:shd w:val="clear" w:color="auto" w:fill="FFFFFF"/>
          <w:lang w:val="zh-CN"/>
        </w:rPr>
        <w:t>南通兴东国际机场官网</w:t>
      </w:r>
      <w:r>
        <w:rPr>
          <w:rFonts w:hint="eastAsia" w:ascii="仿宋" w:hAnsi="仿宋" w:eastAsia="仿宋" w:cs="仿宋"/>
          <w:highlight w:val="none"/>
          <w:shd w:val="clear" w:color="auto" w:fill="FFFFFF"/>
          <w:lang w:val="en-US" w:eastAsia="zh-CN"/>
        </w:rPr>
        <w:t>公布，补充文件将作为招标文件的组成部分，并对投标人具有约束力。</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人认为采购文件使自己的权益受到损害的，可以在开标前，以书面形式向招标人提出质疑；对采购过程提出质疑的，为各采购程序环节结束之日；对中标或者成交结果提出质疑的，为中标或者成交结果公告期限届满之日。</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投标文件中所确定的）原件送达的方式提交，未按上述要求提交的质疑函（含传真、电子邮件等）采购人有权不予受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三、投标文件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招标文件第四章投标文件格式有提供格式的应采用提供的格式编写，未提供格式的投标人可自行确定格式。</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投标文件组成</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价格包（包内含一正一副）</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资格审查包（包内含一正一副）</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）法人代表投标的：提供法定代表人身份证明书和法定代表人身份证复印件；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非法人代表投标：提供法定代表人授权委托书和投标人代表身份证复印件。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）投标人承诺书；</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）非法人代表投标：</w:t>
      </w:r>
      <w:r>
        <w:rPr>
          <w:rFonts w:hint="eastAsia" w:ascii="仿宋" w:hAnsi="仿宋" w:eastAsia="仿宋" w:cs="仿宋"/>
          <w:color w:val="auto"/>
          <w:highlight w:val="none"/>
          <w:shd w:val="clear" w:color="auto" w:fill="auto"/>
          <w:lang w:val="zh-CN" w:eastAsia="zh-CN"/>
        </w:rPr>
        <w:t>响应供应商为投标人代表缴纳社保的证明，</w:t>
      </w:r>
      <w:r>
        <w:rPr>
          <w:rFonts w:hint="eastAsia" w:ascii="仿宋" w:hAnsi="仿宋" w:eastAsia="仿宋" w:cs="仿宋"/>
          <w:b w:val="0"/>
          <w:bCs w:val="0"/>
          <w:color w:val="auto"/>
          <w:highlight w:val="none"/>
          <w:shd w:val="clear" w:color="auto" w:fill="auto"/>
          <w:lang w:eastAsia="zh-CN"/>
        </w:rPr>
        <w:t>提供开标前三个月的缴纳社会保障资金的记录材料</w:t>
      </w:r>
      <w:r>
        <w:rPr>
          <w:rFonts w:hint="eastAsia" w:ascii="仿宋" w:hAnsi="仿宋" w:eastAsia="仿宋" w:cs="仿宋"/>
          <w:color w:val="auto"/>
          <w:highlight w:val="none"/>
          <w:shd w:val="clear" w:color="auto" w:fill="auto"/>
          <w:lang w:val="zh-CN" w:eastAsia="zh-CN"/>
        </w:rPr>
        <w:t>。若投标人代表为法定代表人，不用提供其缴纳社保的证明</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商务技术包（包内含一正一副）</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）其他招标文件要求和投标人自认为应该提供的材料。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2、投标文件编制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的正本和副本均可双面打印，字迹应清晰易于辨认，并在投标文件封面的右上角清楚地注明“正本”或“副本”。正本与副本应分别装订成册（不可散装或有活页），并编制目录及页码，正本和副本有不一致之处，以正本为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（图纸除外，若页面大于A4，应叠成A4页面大小）材料书写或打印，投标文件副本可为正本（经签字盖章后）的复印件。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3、投标文件签署</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）投标文件封面或者扉页、投标函及其附录及相应有要求的部位均应加盖单位章并经法定代表人或其授权的代理人签字确认（签字可使用签名章代替）。</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）投标文件应尽量避免涂改、行间插字或删除。如果出现上述情况，改动之处应加盖单位章或由投标人的法定代表人或其授权的代理人签字确认。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、投标文件密封</w:t>
      </w:r>
    </w:p>
    <w:p>
      <w:pPr>
        <w:pStyle w:val="11"/>
        <w:keepNext w:val="0"/>
        <w:keepLines w:val="0"/>
        <w:pageBreakBefore w:val="0"/>
        <w:widowControl/>
        <w:shd w:val="clear" w:color="auto" w:fill="auto"/>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）投标文件封套加贴封条，并在封套的封口处加盖投标人单位章。</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、投标文件标记</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投标文件的封套上应写明的其他内容：</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（1）招标人名称、标段项目名称、投标人的名称及“价格包”、“资格审查包”、“商务技术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投标有效期。递交投标文件截止之日起的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最高含税限价：</w:t>
      </w:r>
      <w:r>
        <w:rPr>
          <w:rFonts w:hint="eastAsia" w:ascii="仿宋" w:hAnsi="仿宋" w:eastAsia="仿宋" w:cs="仿宋"/>
          <w:highlight w:val="none"/>
          <w:shd w:val="clear" w:color="auto" w:fill="FFFFFF"/>
          <w:lang w:eastAsia="zh-CN"/>
        </w:rPr>
        <w:t>每年固定</w:t>
      </w:r>
      <w:r>
        <w:rPr>
          <w:rFonts w:hint="eastAsia" w:ascii="仿宋" w:hAnsi="仿宋" w:eastAsia="仿宋" w:cs="仿宋"/>
          <w:highlight w:val="none"/>
          <w:shd w:val="clear" w:color="auto" w:fill="FFFFFF"/>
          <w:lang w:val="en-US" w:eastAsia="zh-CN"/>
        </w:rPr>
        <w:t>维保</w:t>
      </w:r>
      <w:r>
        <w:rPr>
          <w:rFonts w:hint="eastAsia" w:ascii="仿宋" w:hAnsi="仿宋" w:eastAsia="仿宋" w:cs="仿宋"/>
          <w:highlight w:val="none"/>
          <w:shd w:val="clear" w:color="auto" w:fill="FFFFFF"/>
          <w:lang w:eastAsia="zh-CN"/>
        </w:rPr>
        <w:t>服务费</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贰拾捌万</w:t>
      </w:r>
      <w:r>
        <w:rPr>
          <w:rFonts w:hint="eastAsia" w:ascii="仿宋" w:hAnsi="仿宋" w:eastAsia="仿宋" w:cs="仿宋"/>
          <w:highlight w:val="none"/>
          <w:shd w:val="clear" w:color="auto" w:fill="FFFFFF"/>
        </w:rPr>
        <w:t>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28万元/年</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kern w:val="0"/>
          <w:sz w:val="24"/>
          <w:highlight w:val="none"/>
          <w:shd w:val="clear" w:color="auto" w:fill="FFFFFF"/>
          <w:lang w:val="en-US" w:eastAsia="zh-CN"/>
        </w:rPr>
        <w:t>投标人对旅客登机桥维保项目固定维保服务费、</w:t>
      </w:r>
      <w:r>
        <w:rPr>
          <w:rFonts w:hint="eastAsia" w:ascii="仿宋" w:hAnsi="仿宋" w:eastAsia="仿宋" w:cs="仿宋"/>
          <w:kern w:val="0"/>
          <w:sz w:val="24"/>
          <w:szCs w:val="24"/>
          <w:highlight w:val="none"/>
          <w:shd w:val="clear" w:color="auto" w:fill="FFFFFF"/>
          <w:lang w:val="en-US" w:eastAsia="zh-CN" w:bidi="ar-SA"/>
        </w:rPr>
        <w:t>零配件清单（</w:t>
      </w:r>
      <w:r>
        <w:rPr>
          <w:rFonts w:hint="eastAsia" w:ascii="仿宋" w:hAnsi="仿宋" w:eastAsia="仿宋" w:cs="仿宋"/>
          <w:kern w:val="0"/>
          <w:sz w:val="24"/>
          <w:szCs w:val="24"/>
          <w:highlight w:val="none"/>
          <w:shd w:val="clear" w:color="auto" w:fill="FFFFFF"/>
          <w:lang w:val="zh-CN" w:eastAsia="zh-CN" w:bidi="ar-SA"/>
        </w:rPr>
        <w:t>附件3：《旅客登机桥零配件清单》</w:t>
      </w:r>
      <w:r>
        <w:rPr>
          <w:rFonts w:hint="eastAsia" w:ascii="仿宋" w:hAnsi="仿宋" w:eastAsia="仿宋" w:cs="仿宋"/>
          <w:kern w:val="0"/>
          <w:sz w:val="24"/>
          <w:szCs w:val="24"/>
          <w:highlight w:val="none"/>
          <w:shd w:val="clear" w:color="auto" w:fill="FFFFFF"/>
          <w:lang w:val="en-US" w:eastAsia="zh-CN" w:bidi="ar-SA"/>
        </w:rPr>
        <w:t>）</w:t>
      </w:r>
      <w:r>
        <w:rPr>
          <w:rFonts w:hint="eastAsia" w:ascii="仿宋" w:hAnsi="仿宋" w:eastAsia="仿宋" w:cs="仿宋"/>
          <w:highlight w:val="none"/>
          <w:shd w:val="clear" w:color="auto" w:fill="FFFFFF"/>
          <w:lang w:val="en-US" w:eastAsia="zh-CN"/>
        </w:rPr>
        <w:t>进行报价，</w:t>
      </w:r>
      <w:r>
        <w:rPr>
          <w:rFonts w:hint="eastAsia" w:ascii="仿宋" w:hAnsi="仿宋" w:eastAsia="仿宋" w:cs="仿宋"/>
          <w:highlight w:val="none"/>
          <w:shd w:val="clear" w:color="auto" w:fill="FFFFFF"/>
          <w:lang w:val="zh-CN"/>
        </w:rPr>
        <w:t>报价包含与项目相关的所有费用，</w:t>
      </w:r>
      <w:r>
        <w:rPr>
          <w:rFonts w:hint="eastAsia" w:ascii="仿宋" w:hAnsi="仿宋" w:eastAsia="仿宋" w:cs="仿宋"/>
          <w:highlight w:val="none"/>
          <w:shd w:val="clear" w:color="auto" w:fill="FFFFFF"/>
          <w:lang w:val="en-US" w:eastAsia="zh-CN"/>
        </w:rPr>
        <w:t>包括但不限于维保服务费、检测费、人工费、差旅食宿费、补贴、税费、工器具使用费、零配件更换调试费、包装费、运输费、保管费等。</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开标截止时间后公布递交投标文件的投标人名称；</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评委会对所有投标文件的密封、标记等情况进行核查，记录在案，并签字确认；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评标委员对投标人资格、响应性进行审查，对合格投标人的响应文件进行技术评分；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按照宣布的开标顺序当众开标，公布有效投标人名称、标段名称、投标报价及其他内容，并记录在案；</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公布采购结果。</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lang w:val="zh-CN" w:eastAsia="zh-CN"/>
        </w:rPr>
      </w:pPr>
      <w:r>
        <w:rPr>
          <w:rFonts w:hint="eastAsia" w:ascii="仿宋" w:hAnsi="仿宋" w:eastAsia="仿宋" w:cs="仿宋"/>
          <w:color w:val="auto"/>
          <w:highlight w:val="none"/>
          <w:shd w:val="clear" w:color="auto" w:fill="FFFFFF"/>
          <w:lang w:val="zh-CN" w:eastAsia="zh-CN"/>
        </w:rPr>
        <w:t>以综合评分法评标。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947"/>
        <w:gridCol w:w="293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条款内容</w:t>
            </w:r>
          </w:p>
        </w:tc>
        <w:tc>
          <w:tcPr>
            <w:tcW w:w="7144" w:type="dxa"/>
            <w:gridSpan w:val="3"/>
            <w:noWrap w:val="0"/>
            <w:vAlign w:val="top"/>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restart"/>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分值构成(总分100分)</w:t>
            </w:r>
          </w:p>
        </w:tc>
        <w:tc>
          <w:tcPr>
            <w:tcW w:w="3884" w:type="dxa"/>
            <w:gridSpan w:val="2"/>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评分因素</w:t>
            </w:r>
          </w:p>
        </w:tc>
        <w:tc>
          <w:tcPr>
            <w:tcW w:w="3260" w:type="dxa"/>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p>
        </w:tc>
        <w:tc>
          <w:tcPr>
            <w:tcW w:w="3884" w:type="dxa"/>
            <w:gridSpan w:val="2"/>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投标价格</w:t>
            </w:r>
          </w:p>
        </w:tc>
        <w:tc>
          <w:tcPr>
            <w:tcW w:w="3260" w:type="dxa"/>
            <w:noWrap w:val="0"/>
            <w:vAlign w:val="top"/>
          </w:tcPr>
          <w:p>
            <w:pPr>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p>
        </w:tc>
        <w:tc>
          <w:tcPr>
            <w:tcW w:w="3884" w:type="dxa"/>
            <w:gridSpan w:val="2"/>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商务技术响应</w:t>
            </w:r>
          </w:p>
        </w:tc>
        <w:tc>
          <w:tcPr>
            <w:tcW w:w="3260" w:type="dxa"/>
            <w:noWrap w:val="0"/>
            <w:vAlign w:val="top"/>
          </w:tcPr>
          <w:p>
            <w:pPr>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评标</w:t>
            </w:r>
            <w:r>
              <w:rPr>
                <w:rFonts w:hint="eastAsia" w:ascii="仿宋" w:hAnsi="仿宋" w:eastAsia="仿宋" w:cs="仿宋"/>
                <w:color w:val="auto"/>
                <w:kern w:val="0"/>
                <w:sz w:val="24"/>
                <w:szCs w:val="24"/>
                <w:highlight w:val="none"/>
                <w:shd w:val="clear" w:color="auto" w:fill="FFFFFF"/>
                <w:lang w:val="en-US" w:eastAsia="zh-CN" w:bidi="ar-SA"/>
              </w:rPr>
              <w:t>价和评标</w:t>
            </w:r>
            <w:r>
              <w:rPr>
                <w:rFonts w:hint="eastAsia" w:ascii="仿宋" w:hAnsi="仿宋" w:eastAsia="仿宋" w:cs="仿宋"/>
                <w:color w:val="auto"/>
                <w:kern w:val="0"/>
                <w:sz w:val="24"/>
                <w:szCs w:val="24"/>
                <w:highlight w:val="none"/>
                <w:shd w:val="clear" w:color="auto" w:fill="FFFFFF"/>
                <w:lang w:val="zh-CN" w:eastAsia="zh-CN" w:bidi="ar-SA"/>
              </w:rPr>
              <w:t>基准价计算方法</w:t>
            </w:r>
          </w:p>
        </w:tc>
        <w:tc>
          <w:tcPr>
            <w:tcW w:w="7144" w:type="dxa"/>
            <w:gridSpan w:val="3"/>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（1）评标价的确定：评标价=</w:t>
            </w:r>
            <w:r>
              <w:rPr>
                <w:rFonts w:hint="eastAsia" w:ascii="仿宋" w:hAnsi="仿宋" w:eastAsia="仿宋" w:cs="仿宋"/>
                <w:color w:val="auto"/>
                <w:kern w:val="0"/>
                <w:sz w:val="24"/>
                <w:szCs w:val="24"/>
                <w:highlight w:val="none"/>
                <w:shd w:val="clear" w:color="auto" w:fill="FFFFFF"/>
                <w:lang w:val="en-US" w:eastAsia="zh-CN" w:bidi="ar-SA"/>
              </w:rPr>
              <w:t>固定维保服务费报价*80%+零配件清单总报价*20%</w:t>
            </w:r>
            <w:r>
              <w:rPr>
                <w:rFonts w:hint="eastAsia" w:ascii="仿宋" w:hAnsi="仿宋" w:eastAsia="仿宋" w:cs="仿宋"/>
                <w:color w:val="auto"/>
                <w:kern w:val="0"/>
                <w:sz w:val="24"/>
                <w:szCs w:val="24"/>
                <w:highlight w:val="none"/>
                <w:shd w:val="clear" w:color="auto" w:fill="FFFFFF"/>
                <w:lang w:val="zh-CN" w:eastAsia="zh-CN" w:bidi="ar-SA"/>
              </w:rPr>
              <w:t>（不含税）</w:t>
            </w:r>
          </w:p>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（2）有效评标价的确定：所有通过评审的投标文件的评标价（不含税）为有效评标价</w:t>
            </w:r>
          </w:p>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（3）评标基准价的计算：所有有效评标价去掉一个最高值和一个最低值后的算术平均值为评标基准价（如果有效评标价少于5家时，则计算时不去掉最高值和最低值）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偏差率计算方法</w:t>
            </w:r>
          </w:p>
        </w:tc>
        <w:tc>
          <w:tcPr>
            <w:tcW w:w="7144" w:type="dxa"/>
            <w:gridSpan w:val="3"/>
            <w:noWrap w:val="0"/>
            <w:vAlign w:val="center"/>
          </w:tcPr>
          <w:p>
            <w:pPr>
              <w:numPr>
                <w:ilvl w:val="0"/>
                <w:numId w:val="0"/>
              </w:numPr>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42" w:type="dxa"/>
            <w:gridSpan w:val="4"/>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评分因素</w:t>
            </w:r>
          </w:p>
        </w:tc>
        <w:tc>
          <w:tcPr>
            <w:tcW w:w="947"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分值</w:t>
            </w:r>
          </w:p>
        </w:tc>
        <w:tc>
          <w:tcPr>
            <w:tcW w:w="6197" w:type="dxa"/>
            <w:gridSpan w:val="2"/>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评标价</w:t>
            </w:r>
          </w:p>
        </w:tc>
        <w:tc>
          <w:tcPr>
            <w:tcW w:w="947"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40分</w:t>
            </w:r>
          </w:p>
        </w:tc>
        <w:tc>
          <w:tcPr>
            <w:tcW w:w="6197" w:type="dxa"/>
            <w:gridSpan w:val="2"/>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基准分</w:t>
            </w:r>
            <w:r>
              <w:rPr>
                <w:rFonts w:hint="eastAsia" w:ascii="仿宋" w:hAnsi="仿宋" w:eastAsia="仿宋" w:cs="仿宋"/>
                <w:color w:val="auto"/>
                <w:kern w:val="0"/>
                <w:sz w:val="24"/>
                <w:szCs w:val="24"/>
                <w:highlight w:val="none"/>
                <w:shd w:val="clear" w:color="auto" w:fill="FFFFFF"/>
                <w:lang w:val="en-US" w:eastAsia="zh-CN" w:bidi="ar-SA"/>
              </w:rPr>
              <w:t>40</w:t>
            </w:r>
            <w:r>
              <w:rPr>
                <w:rFonts w:hint="eastAsia" w:ascii="仿宋" w:hAnsi="仿宋" w:eastAsia="仿宋" w:cs="仿宋"/>
                <w:color w:val="auto"/>
                <w:kern w:val="0"/>
                <w:sz w:val="24"/>
                <w:szCs w:val="24"/>
                <w:highlight w:val="none"/>
                <w:shd w:val="clear" w:color="auto" w:fill="FFFFFF"/>
                <w:lang w:val="zh-CN" w:eastAsia="zh-CN" w:bidi="ar-SA"/>
              </w:rPr>
              <w:t>分，然后根据以下方法，计算出各投标单位的报价得分（报价得分值保留二位小数，最小计分单位为0.01分）：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fldChar w:fldCharType="begin"/>
            </w:r>
            <w:r>
              <w:rPr>
                <w:rFonts w:hint="eastAsia" w:ascii="仿宋" w:hAnsi="仿宋" w:eastAsia="仿宋" w:cs="仿宋"/>
                <w:color w:val="auto"/>
                <w:kern w:val="0"/>
                <w:sz w:val="24"/>
                <w:szCs w:val="24"/>
                <w:highlight w:val="none"/>
                <w:shd w:val="clear" w:color="auto" w:fill="FFFFFF"/>
                <w:lang w:val="zh-CN" w:eastAsia="zh-CN" w:bidi="ar-SA"/>
              </w:rPr>
              <w:instrText xml:space="preserve">= 1 \* GB3</w:instrText>
            </w:r>
            <w:r>
              <w:rPr>
                <w:rFonts w:hint="eastAsia" w:ascii="仿宋" w:hAnsi="仿宋" w:eastAsia="仿宋" w:cs="仿宋"/>
                <w:color w:val="auto"/>
                <w:kern w:val="0"/>
                <w:sz w:val="24"/>
                <w:szCs w:val="24"/>
                <w:highlight w:val="none"/>
                <w:shd w:val="clear" w:color="auto" w:fill="FFFFFF"/>
                <w:lang w:val="zh-CN" w:eastAsia="zh-CN" w:bidi="ar-SA"/>
              </w:rPr>
              <w:fldChar w:fldCharType="separate"/>
            </w:r>
            <w:r>
              <w:rPr>
                <w:rFonts w:hint="eastAsia" w:ascii="仿宋" w:hAnsi="仿宋" w:eastAsia="仿宋" w:cs="仿宋"/>
                <w:color w:val="auto"/>
                <w:kern w:val="0"/>
                <w:sz w:val="24"/>
                <w:szCs w:val="24"/>
                <w:highlight w:val="none"/>
                <w:shd w:val="clear" w:color="auto" w:fill="FFFFFF"/>
                <w:lang w:val="zh-CN" w:eastAsia="zh-CN" w:bidi="ar-SA"/>
              </w:rPr>
              <w:t>①</w:t>
            </w:r>
            <w:r>
              <w:rPr>
                <w:rFonts w:hint="eastAsia" w:ascii="仿宋" w:hAnsi="仿宋" w:eastAsia="仿宋" w:cs="仿宋"/>
                <w:color w:val="auto"/>
                <w:kern w:val="0"/>
                <w:sz w:val="24"/>
                <w:szCs w:val="24"/>
                <w:highlight w:val="none"/>
                <w:shd w:val="clear" w:color="auto" w:fill="FFFFFF"/>
                <w:lang w:val="zh-CN" w:eastAsia="zh-CN" w:bidi="ar-SA"/>
              </w:rPr>
              <w:fldChar w:fldCharType="end"/>
            </w:r>
            <w:r>
              <w:rPr>
                <w:rFonts w:hint="eastAsia" w:ascii="仿宋" w:hAnsi="仿宋" w:eastAsia="仿宋" w:cs="仿宋"/>
                <w:color w:val="auto"/>
                <w:kern w:val="0"/>
                <w:sz w:val="24"/>
                <w:szCs w:val="24"/>
                <w:highlight w:val="none"/>
                <w:shd w:val="clear" w:color="auto" w:fill="FFFFFF"/>
                <w:lang w:val="zh-CN" w:eastAsia="zh-CN" w:bidi="ar-SA"/>
              </w:rPr>
              <w:t>若偏差率大于</w:t>
            </w:r>
            <w:r>
              <w:rPr>
                <w:rFonts w:hint="eastAsia" w:ascii="仿宋" w:hAnsi="仿宋" w:eastAsia="仿宋" w:cs="仿宋"/>
                <w:color w:val="auto"/>
                <w:kern w:val="0"/>
                <w:sz w:val="24"/>
                <w:szCs w:val="24"/>
                <w:highlight w:val="none"/>
                <w:shd w:val="clear" w:color="auto" w:fill="FFFFFF"/>
                <w:lang w:val="en-US" w:eastAsia="zh-CN" w:bidi="ar-SA"/>
              </w:rPr>
              <w:t>0</w:t>
            </w:r>
            <w:r>
              <w:rPr>
                <w:rFonts w:hint="eastAsia" w:ascii="仿宋" w:hAnsi="仿宋" w:eastAsia="仿宋" w:cs="仿宋"/>
                <w:color w:val="auto"/>
                <w:kern w:val="0"/>
                <w:sz w:val="24"/>
                <w:szCs w:val="24"/>
                <w:highlight w:val="none"/>
                <w:shd w:val="clear" w:color="auto" w:fill="FFFFFF"/>
                <w:lang w:val="zh-CN" w:eastAsia="zh-CN" w:bidi="ar-SA"/>
              </w:rPr>
              <w:t>，投标人得分</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基准分</w:t>
            </w:r>
            <w:r>
              <w:rPr>
                <w:rFonts w:hint="eastAsia" w:ascii="仿宋" w:hAnsi="仿宋" w:eastAsia="仿宋" w:cs="仿宋"/>
                <w:color w:val="auto"/>
                <w:kern w:val="0"/>
                <w:sz w:val="24"/>
                <w:szCs w:val="24"/>
                <w:highlight w:val="none"/>
                <w:shd w:val="clear" w:color="auto" w:fill="FFFFFF"/>
                <w:lang w:val="en-US" w:eastAsia="zh-CN" w:bidi="ar-SA"/>
              </w:rPr>
              <w:t>-偏差率*</w:t>
            </w:r>
            <w:r>
              <w:rPr>
                <w:rFonts w:hint="eastAsia" w:ascii="仿宋" w:hAnsi="仿宋" w:eastAsia="仿宋" w:cs="仿宋"/>
                <w:color w:val="auto"/>
                <w:kern w:val="0"/>
                <w:sz w:val="24"/>
                <w:szCs w:val="24"/>
                <w:highlight w:val="none"/>
                <w:shd w:val="clear" w:color="auto" w:fill="FFFFFF"/>
                <w:lang w:val="zh-CN" w:eastAsia="zh-CN" w:bidi="ar-SA"/>
              </w:rPr>
              <w:t>0.</w:t>
            </w:r>
            <w:r>
              <w:rPr>
                <w:rFonts w:hint="eastAsia" w:ascii="仿宋" w:hAnsi="仿宋" w:eastAsia="仿宋" w:cs="仿宋"/>
                <w:color w:val="auto"/>
                <w:kern w:val="0"/>
                <w:sz w:val="24"/>
                <w:szCs w:val="24"/>
                <w:highlight w:val="none"/>
                <w:shd w:val="clear" w:color="auto" w:fill="FFFFFF"/>
                <w:lang w:val="en-US" w:eastAsia="zh-CN" w:bidi="ar-SA"/>
              </w:rPr>
              <w:t>6</w:t>
            </w:r>
            <w:r>
              <w:rPr>
                <w:rFonts w:hint="eastAsia" w:ascii="仿宋" w:hAnsi="仿宋" w:eastAsia="仿宋" w:cs="仿宋"/>
                <w:color w:val="auto"/>
                <w:kern w:val="0"/>
                <w:sz w:val="24"/>
                <w:szCs w:val="24"/>
                <w:highlight w:val="none"/>
                <w:shd w:val="clear" w:color="auto" w:fill="FFFFFF"/>
                <w:lang w:val="zh-CN" w:eastAsia="zh-CN" w:bidi="ar-SA"/>
              </w:rPr>
              <w:t>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fldChar w:fldCharType="begin"/>
            </w:r>
            <w:r>
              <w:rPr>
                <w:rFonts w:hint="eastAsia" w:ascii="仿宋" w:hAnsi="仿宋" w:eastAsia="仿宋" w:cs="仿宋"/>
                <w:color w:val="auto"/>
                <w:kern w:val="0"/>
                <w:sz w:val="24"/>
                <w:szCs w:val="24"/>
                <w:highlight w:val="none"/>
                <w:shd w:val="clear" w:color="auto" w:fill="FFFFFF"/>
                <w:lang w:val="zh-CN" w:eastAsia="zh-CN" w:bidi="ar-SA"/>
              </w:rPr>
              <w:instrText xml:space="preserve">= 2 \* GB3</w:instrText>
            </w:r>
            <w:r>
              <w:rPr>
                <w:rFonts w:hint="eastAsia" w:ascii="仿宋" w:hAnsi="仿宋" w:eastAsia="仿宋" w:cs="仿宋"/>
                <w:color w:val="auto"/>
                <w:kern w:val="0"/>
                <w:sz w:val="24"/>
                <w:szCs w:val="24"/>
                <w:highlight w:val="none"/>
                <w:shd w:val="clear" w:color="auto" w:fill="FFFFFF"/>
                <w:lang w:val="zh-CN" w:eastAsia="zh-CN" w:bidi="ar-SA"/>
              </w:rPr>
              <w:fldChar w:fldCharType="separate"/>
            </w:r>
            <w:r>
              <w:rPr>
                <w:rFonts w:hint="eastAsia" w:ascii="仿宋" w:hAnsi="仿宋" w:eastAsia="仿宋" w:cs="仿宋"/>
                <w:color w:val="auto"/>
                <w:kern w:val="0"/>
                <w:sz w:val="24"/>
                <w:szCs w:val="24"/>
                <w:highlight w:val="none"/>
                <w:shd w:val="clear" w:color="auto" w:fill="FFFFFF"/>
                <w:lang w:val="zh-CN" w:eastAsia="zh-CN" w:bidi="ar-SA"/>
              </w:rPr>
              <w:t>②</w:t>
            </w:r>
            <w:r>
              <w:rPr>
                <w:rFonts w:hint="eastAsia" w:ascii="仿宋" w:hAnsi="仿宋" w:eastAsia="仿宋" w:cs="仿宋"/>
                <w:color w:val="auto"/>
                <w:kern w:val="0"/>
                <w:sz w:val="24"/>
                <w:szCs w:val="24"/>
                <w:highlight w:val="none"/>
                <w:shd w:val="clear" w:color="auto" w:fill="FFFFFF"/>
                <w:lang w:val="zh-CN" w:eastAsia="zh-CN" w:bidi="ar-SA"/>
              </w:rPr>
              <w:fldChar w:fldCharType="end"/>
            </w:r>
            <w:r>
              <w:rPr>
                <w:rFonts w:hint="eastAsia" w:ascii="仿宋" w:hAnsi="仿宋" w:eastAsia="仿宋" w:cs="仿宋"/>
                <w:color w:val="auto"/>
                <w:kern w:val="0"/>
                <w:sz w:val="24"/>
                <w:szCs w:val="24"/>
                <w:highlight w:val="none"/>
                <w:shd w:val="clear" w:color="auto" w:fill="FFFFFF"/>
                <w:lang w:val="zh-CN" w:eastAsia="zh-CN" w:bidi="ar-SA"/>
              </w:rPr>
              <w:t>若偏差率小于</w:t>
            </w:r>
            <w:r>
              <w:rPr>
                <w:rFonts w:hint="eastAsia" w:ascii="仿宋" w:hAnsi="仿宋" w:eastAsia="仿宋" w:cs="仿宋"/>
                <w:color w:val="auto"/>
                <w:kern w:val="0"/>
                <w:sz w:val="24"/>
                <w:szCs w:val="24"/>
                <w:highlight w:val="none"/>
                <w:shd w:val="clear" w:color="auto" w:fill="FFFFFF"/>
                <w:lang w:val="en-US" w:eastAsia="zh-CN" w:bidi="ar-SA"/>
              </w:rPr>
              <w:t>0</w:t>
            </w:r>
            <w:r>
              <w:rPr>
                <w:rFonts w:hint="eastAsia" w:ascii="仿宋" w:hAnsi="仿宋" w:eastAsia="仿宋" w:cs="仿宋"/>
                <w:color w:val="auto"/>
                <w:kern w:val="0"/>
                <w:sz w:val="24"/>
                <w:szCs w:val="24"/>
                <w:highlight w:val="none"/>
                <w:shd w:val="clear" w:color="auto" w:fill="FFFFFF"/>
                <w:lang w:val="zh-CN" w:eastAsia="zh-CN" w:bidi="ar-SA"/>
              </w:rPr>
              <w:t>，投标人得分</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基准分</w:t>
            </w:r>
            <w:r>
              <w:rPr>
                <w:rFonts w:hint="eastAsia" w:ascii="仿宋" w:hAnsi="仿宋" w:eastAsia="仿宋" w:cs="仿宋"/>
                <w:color w:val="auto"/>
                <w:kern w:val="0"/>
                <w:sz w:val="24"/>
                <w:szCs w:val="24"/>
                <w:highlight w:val="none"/>
                <w:shd w:val="clear" w:color="auto" w:fill="FFFFFF"/>
                <w:lang w:val="en-US" w:eastAsia="zh-CN" w:bidi="ar-SA"/>
              </w:rPr>
              <w:t>+偏差率*</w:t>
            </w:r>
            <w:r>
              <w:rPr>
                <w:rFonts w:hint="eastAsia" w:ascii="仿宋" w:hAnsi="仿宋" w:eastAsia="仿宋" w:cs="仿宋"/>
                <w:color w:val="auto"/>
                <w:kern w:val="0"/>
                <w:sz w:val="24"/>
                <w:szCs w:val="24"/>
                <w:highlight w:val="none"/>
                <w:shd w:val="clear" w:color="auto" w:fill="FFFFFF"/>
                <w:lang w:val="zh-CN" w:eastAsia="zh-CN" w:bidi="ar-SA"/>
              </w:rPr>
              <w:t>0.</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default" w:ascii="仿宋" w:hAnsi="仿宋" w:eastAsia="仿宋" w:cs="仿宋"/>
                <w:color w:val="auto"/>
                <w:kern w:val="0"/>
                <w:sz w:val="24"/>
                <w:szCs w:val="24"/>
                <w:highlight w:val="none"/>
                <w:shd w:val="clear" w:color="auto" w:fill="FFFFFF"/>
                <w:lang w:val="zh-CN" w:eastAsia="zh-CN" w:bidi="ar-SA"/>
              </w:rPr>
              <w:t>③</w:t>
            </w:r>
            <w:r>
              <w:rPr>
                <w:rFonts w:hint="eastAsia" w:ascii="仿宋" w:hAnsi="仿宋" w:eastAsia="仿宋" w:cs="仿宋"/>
                <w:color w:val="auto"/>
                <w:kern w:val="0"/>
                <w:sz w:val="24"/>
                <w:szCs w:val="24"/>
                <w:highlight w:val="none"/>
                <w:shd w:val="clear" w:color="auto" w:fill="FFFFFF"/>
                <w:lang w:val="zh-CN" w:eastAsia="zh-CN" w:bidi="ar-SA"/>
              </w:rPr>
              <w:t>若偏差率等于</w:t>
            </w:r>
            <w:r>
              <w:rPr>
                <w:rFonts w:hint="eastAsia" w:ascii="仿宋" w:hAnsi="仿宋" w:eastAsia="仿宋" w:cs="仿宋"/>
                <w:color w:val="auto"/>
                <w:kern w:val="0"/>
                <w:sz w:val="24"/>
                <w:szCs w:val="24"/>
                <w:highlight w:val="none"/>
                <w:shd w:val="clear" w:color="auto" w:fill="FFFFFF"/>
                <w:lang w:val="en-US" w:eastAsia="zh-CN" w:bidi="ar-SA"/>
              </w:rPr>
              <w:t>0</w:t>
            </w:r>
            <w:r>
              <w:rPr>
                <w:rFonts w:hint="eastAsia" w:ascii="仿宋" w:hAnsi="仿宋" w:eastAsia="仿宋" w:cs="仿宋"/>
                <w:color w:val="auto"/>
                <w:kern w:val="0"/>
                <w:sz w:val="24"/>
                <w:szCs w:val="24"/>
                <w:highlight w:val="none"/>
                <w:shd w:val="clear" w:color="auto" w:fill="FFFFFF"/>
                <w:lang w:val="zh-CN" w:eastAsia="zh-CN" w:bidi="ar-SA"/>
              </w:rPr>
              <w:t>，投标人得分</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基准分</w:t>
            </w:r>
          </w:p>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注：评标委员会认为投标人的报价明显高于或低于其他通过符合性审查的供应商的报价，有可能影响服务质量或者不能诚信履约的，应当要求其在开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维保实施方案</w:t>
            </w:r>
          </w:p>
        </w:tc>
        <w:tc>
          <w:tcPr>
            <w:tcW w:w="947" w:type="dxa"/>
            <w:noWrap w:val="0"/>
            <w:vAlign w:val="center"/>
          </w:tcPr>
          <w:p>
            <w:pPr>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30分</w:t>
            </w:r>
          </w:p>
        </w:tc>
        <w:tc>
          <w:tcPr>
            <w:tcW w:w="6197" w:type="dxa"/>
            <w:gridSpan w:val="2"/>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en-US" w:eastAsia="zh-CN" w:bidi="ar-SA"/>
              </w:rPr>
              <w:t>投标人针</w:t>
            </w:r>
            <w:r>
              <w:rPr>
                <w:rFonts w:hint="eastAsia" w:ascii="仿宋" w:hAnsi="仿宋" w:eastAsia="仿宋" w:cs="仿宋"/>
                <w:color w:val="auto"/>
                <w:kern w:val="0"/>
                <w:sz w:val="24"/>
                <w:szCs w:val="24"/>
                <w:highlight w:val="none"/>
                <w:shd w:val="clear" w:color="auto" w:fill="FFFFFF"/>
                <w:lang w:val="zh-CN" w:eastAsia="zh-CN" w:bidi="ar-SA"/>
              </w:rPr>
              <w:t>对本项目制定</w:t>
            </w:r>
            <w:r>
              <w:rPr>
                <w:rFonts w:hint="eastAsia" w:ascii="仿宋" w:hAnsi="仿宋" w:eastAsia="仿宋" w:cs="仿宋"/>
                <w:color w:val="auto"/>
                <w:kern w:val="0"/>
                <w:sz w:val="24"/>
                <w:szCs w:val="24"/>
                <w:highlight w:val="none"/>
                <w:shd w:val="clear" w:color="auto" w:fill="FFFFFF"/>
                <w:lang w:val="en-US" w:eastAsia="zh-CN" w:bidi="ar-SA"/>
              </w:rPr>
              <w:t>维保实施</w:t>
            </w:r>
            <w:r>
              <w:rPr>
                <w:rFonts w:hint="eastAsia" w:ascii="仿宋" w:hAnsi="仿宋" w:eastAsia="仿宋" w:cs="仿宋"/>
                <w:color w:val="auto"/>
                <w:kern w:val="0"/>
                <w:sz w:val="24"/>
                <w:szCs w:val="24"/>
                <w:highlight w:val="none"/>
                <w:shd w:val="clear" w:color="auto" w:fill="FFFFFF"/>
                <w:lang w:val="zh-CN" w:eastAsia="zh-CN" w:bidi="ar-SA"/>
              </w:rPr>
              <w:t>方案，横向比较</w:t>
            </w:r>
            <w:r>
              <w:rPr>
                <w:rFonts w:hint="eastAsia" w:ascii="仿宋" w:hAnsi="仿宋" w:eastAsia="仿宋" w:cs="仿宋"/>
                <w:color w:val="auto"/>
                <w:kern w:val="0"/>
                <w:sz w:val="24"/>
                <w:szCs w:val="24"/>
                <w:highlight w:val="none"/>
                <w:shd w:val="clear" w:color="auto" w:fill="FFFFFF"/>
                <w:lang w:val="en-US" w:eastAsia="zh-CN" w:bidi="ar-SA"/>
              </w:rPr>
              <w:t>各</w:t>
            </w:r>
            <w:r>
              <w:rPr>
                <w:rFonts w:hint="eastAsia" w:ascii="仿宋" w:hAnsi="仿宋" w:eastAsia="仿宋" w:cs="仿宋"/>
                <w:color w:val="auto"/>
                <w:kern w:val="0"/>
                <w:sz w:val="24"/>
                <w:szCs w:val="24"/>
                <w:highlight w:val="none"/>
                <w:shd w:val="clear" w:color="auto" w:fill="FFFFFF"/>
                <w:lang w:val="zh-CN" w:eastAsia="zh-CN" w:bidi="ar-SA"/>
              </w:rPr>
              <w:t>方案的优劣程度（满分</w:t>
            </w:r>
            <w:r>
              <w:rPr>
                <w:rFonts w:hint="eastAsia" w:ascii="仿宋" w:hAnsi="仿宋" w:eastAsia="仿宋" w:cs="仿宋"/>
                <w:color w:val="auto"/>
                <w:kern w:val="0"/>
                <w:sz w:val="24"/>
                <w:szCs w:val="24"/>
                <w:highlight w:val="none"/>
                <w:shd w:val="clear" w:color="auto" w:fill="FFFFFF"/>
                <w:lang w:val="en-US" w:eastAsia="zh-CN" w:bidi="ar-SA"/>
              </w:rPr>
              <w:t>30</w:t>
            </w:r>
            <w:r>
              <w:rPr>
                <w:rFonts w:hint="eastAsia" w:ascii="仿宋" w:hAnsi="仿宋" w:eastAsia="仿宋" w:cs="仿宋"/>
                <w:color w:val="auto"/>
                <w:kern w:val="0"/>
                <w:sz w:val="24"/>
                <w:szCs w:val="24"/>
                <w:highlight w:val="none"/>
                <w:shd w:val="clear" w:color="auto" w:fill="FFFFFF"/>
                <w:lang w:val="zh-CN" w:eastAsia="zh-CN" w:bidi="ar-SA"/>
              </w:rPr>
              <w:t>分）：</w:t>
            </w:r>
          </w:p>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zh-CN" w:eastAsia="zh-CN" w:bidi="ar-SA"/>
              </w:rPr>
              <w:t>1、针对本项目的维保</w:t>
            </w:r>
            <w:r>
              <w:rPr>
                <w:rFonts w:hint="eastAsia" w:ascii="仿宋" w:hAnsi="仿宋" w:eastAsia="仿宋" w:cs="仿宋"/>
                <w:color w:val="auto"/>
                <w:kern w:val="0"/>
                <w:sz w:val="24"/>
                <w:szCs w:val="24"/>
                <w:highlight w:val="none"/>
                <w:shd w:val="clear" w:color="auto" w:fill="FFFFFF"/>
                <w:lang w:val="en-US" w:eastAsia="zh-CN" w:bidi="ar-SA"/>
              </w:rPr>
              <w:t>技术</w:t>
            </w:r>
            <w:r>
              <w:rPr>
                <w:rFonts w:hint="eastAsia" w:ascii="仿宋" w:hAnsi="仿宋" w:eastAsia="仿宋" w:cs="仿宋"/>
                <w:color w:val="auto"/>
                <w:kern w:val="0"/>
                <w:sz w:val="24"/>
                <w:szCs w:val="24"/>
                <w:highlight w:val="none"/>
                <w:shd w:val="clear" w:color="auto" w:fill="FFFFFF"/>
                <w:lang w:val="zh-CN" w:eastAsia="zh-CN" w:bidi="ar-SA"/>
              </w:rPr>
              <w:t>方案（</w:t>
            </w:r>
            <w:r>
              <w:rPr>
                <w:rFonts w:hint="eastAsia" w:ascii="仿宋" w:hAnsi="仿宋" w:eastAsia="仿宋" w:cs="仿宋"/>
                <w:color w:val="auto"/>
                <w:kern w:val="0"/>
                <w:sz w:val="24"/>
                <w:szCs w:val="24"/>
                <w:highlight w:val="none"/>
                <w:shd w:val="clear" w:color="auto" w:fill="FFFFFF"/>
                <w:lang w:val="en-US" w:eastAsia="zh-CN" w:bidi="ar-SA"/>
              </w:rPr>
              <w:t>15分</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结合招标方维保服务相关细则及要求，</w:t>
            </w:r>
            <w:r>
              <w:rPr>
                <w:rFonts w:hint="eastAsia" w:ascii="仿宋" w:hAnsi="仿宋" w:eastAsia="仿宋" w:cs="仿宋"/>
                <w:color w:val="auto"/>
                <w:kern w:val="0"/>
                <w:sz w:val="24"/>
                <w:szCs w:val="24"/>
                <w:highlight w:val="none"/>
                <w:shd w:val="clear" w:color="auto" w:fill="FFFFFF"/>
                <w:lang w:val="zh-CN" w:eastAsia="zh-CN" w:bidi="ar-SA"/>
              </w:rPr>
              <w:t>制定</w:t>
            </w:r>
            <w:r>
              <w:rPr>
                <w:rFonts w:hint="eastAsia" w:ascii="仿宋" w:hAnsi="仿宋" w:eastAsia="仿宋" w:cs="仿宋"/>
                <w:color w:val="auto"/>
                <w:kern w:val="0"/>
                <w:sz w:val="24"/>
                <w:szCs w:val="24"/>
                <w:highlight w:val="none"/>
                <w:shd w:val="clear" w:color="auto" w:fill="FFFFFF"/>
                <w:lang w:val="en-US" w:eastAsia="zh-CN" w:bidi="ar-SA"/>
              </w:rPr>
              <w:t>细化、优化、补充的</w:t>
            </w:r>
            <w:r>
              <w:rPr>
                <w:rFonts w:hint="eastAsia" w:ascii="仿宋" w:hAnsi="仿宋" w:eastAsia="仿宋" w:cs="仿宋"/>
                <w:color w:val="auto"/>
                <w:kern w:val="0"/>
                <w:sz w:val="24"/>
                <w:szCs w:val="24"/>
                <w:highlight w:val="none"/>
                <w:shd w:val="clear" w:color="auto" w:fill="FFFFFF"/>
                <w:lang w:val="zh-CN" w:eastAsia="zh-CN" w:bidi="ar-SA"/>
              </w:rPr>
              <w:t>维护保养</w:t>
            </w:r>
            <w:r>
              <w:rPr>
                <w:rFonts w:hint="eastAsia" w:ascii="仿宋" w:hAnsi="仿宋" w:eastAsia="仿宋" w:cs="仿宋"/>
                <w:color w:val="auto"/>
                <w:kern w:val="0"/>
                <w:sz w:val="24"/>
                <w:szCs w:val="24"/>
                <w:highlight w:val="none"/>
                <w:shd w:val="clear" w:color="auto" w:fill="FFFFFF"/>
                <w:lang w:val="en-US" w:eastAsia="zh-CN" w:bidi="ar-SA"/>
              </w:rPr>
              <w:t>相关</w:t>
            </w:r>
            <w:r>
              <w:rPr>
                <w:rFonts w:hint="eastAsia" w:ascii="仿宋" w:hAnsi="仿宋" w:eastAsia="仿宋" w:cs="仿宋"/>
                <w:color w:val="auto"/>
                <w:kern w:val="0"/>
                <w:sz w:val="24"/>
                <w:szCs w:val="24"/>
                <w:highlight w:val="none"/>
                <w:shd w:val="clear" w:color="auto" w:fill="FFFFFF"/>
                <w:lang w:val="zh-CN" w:eastAsia="zh-CN" w:bidi="ar-SA"/>
              </w:rPr>
              <w:t>方案，主要考察维保</w:t>
            </w:r>
            <w:r>
              <w:rPr>
                <w:rFonts w:hint="eastAsia" w:ascii="仿宋" w:hAnsi="仿宋" w:eastAsia="仿宋" w:cs="仿宋"/>
                <w:color w:val="auto"/>
                <w:kern w:val="0"/>
                <w:sz w:val="24"/>
                <w:szCs w:val="24"/>
                <w:highlight w:val="none"/>
                <w:shd w:val="clear" w:color="auto" w:fill="FFFFFF"/>
                <w:lang w:val="en-US" w:eastAsia="zh-CN" w:bidi="ar-SA"/>
              </w:rPr>
              <w:t>技术</w:t>
            </w:r>
            <w:r>
              <w:rPr>
                <w:rFonts w:hint="eastAsia" w:ascii="仿宋" w:hAnsi="仿宋" w:eastAsia="仿宋" w:cs="仿宋"/>
                <w:color w:val="auto"/>
                <w:kern w:val="0"/>
                <w:sz w:val="24"/>
                <w:szCs w:val="24"/>
                <w:highlight w:val="none"/>
                <w:shd w:val="clear" w:color="auto" w:fill="FFFFFF"/>
                <w:lang w:val="zh-CN" w:eastAsia="zh-CN" w:bidi="ar-SA"/>
              </w:rPr>
              <w:t>方案的合理性、可行性、完整性等。优(</w:t>
            </w:r>
            <w:r>
              <w:rPr>
                <w:rFonts w:hint="eastAsia" w:ascii="仿宋" w:hAnsi="仿宋" w:eastAsia="仿宋" w:cs="仿宋"/>
                <w:color w:val="auto"/>
                <w:kern w:val="0"/>
                <w:sz w:val="24"/>
                <w:szCs w:val="24"/>
                <w:highlight w:val="none"/>
                <w:shd w:val="clear" w:color="auto" w:fill="FFFFFF"/>
                <w:lang w:val="en-US" w:eastAsia="zh-CN" w:bidi="ar-SA"/>
              </w:rPr>
              <w:t>11.25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15]</w:t>
            </w:r>
            <w:r>
              <w:rPr>
                <w:rFonts w:hint="eastAsia" w:ascii="仿宋" w:hAnsi="仿宋" w:eastAsia="仿宋" w:cs="仿宋"/>
                <w:color w:val="auto"/>
                <w:kern w:val="0"/>
                <w:sz w:val="24"/>
                <w:szCs w:val="24"/>
                <w:highlight w:val="none"/>
                <w:shd w:val="clear" w:color="auto" w:fill="FFFFFF"/>
                <w:lang w:val="zh-CN" w:eastAsia="zh-CN" w:bidi="ar-SA"/>
              </w:rPr>
              <w:t>分，良(</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11.25]</w:t>
            </w:r>
            <w:r>
              <w:rPr>
                <w:rFonts w:hint="eastAsia" w:ascii="仿宋" w:hAnsi="仿宋" w:eastAsia="仿宋" w:cs="仿宋"/>
                <w:color w:val="auto"/>
                <w:kern w:val="0"/>
                <w:sz w:val="24"/>
                <w:szCs w:val="24"/>
                <w:highlight w:val="none"/>
                <w:shd w:val="clear" w:color="auto" w:fill="FFFFFF"/>
                <w:lang w:val="zh-CN" w:eastAsia="zh-CN" w:bidi="ar-SA"/>
              </w:rPr>
              <w:t>分，一般(</w:t>
            </w:r>
            <w:r>
              <w:rPr>
                <w:rFonts w:hint="eastAsia" w:ascii="仿宋" w:hAnsi="仿宋" w:eastAsia="仿宋" w:cs="仿宋"/>
                <w:color w:val="auto"/>
                <w:kern w:val="0"/>
                <w:sz w:val="24"/>
                <w:szCs w:val="24"/>
                <w:highlight w:val="none"/>
                <w:shd w:val="clear" w:color="auto" w:fill="FFFFFF"/>
                <w:lang w:val="en-US" w:eastAsia="zh-CN" w:bidi="ar-SA"/>
              </w:rPr>
              <w:t>3.75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分，差</w:t>
            </w:r>
            <w:r>
              <w:rPr>
                <w:rFonts w:hint="eastAsia" w:ascii="仿宋" w:hAnsi="仿宋" w:eastAsia="仿宋" w:cs="仿宋"/>
                <w:color w:val="auto"/>
                <w:kern w:val="0"/>
                <w:sz w:val="24"/>
                <w:szCs w:val="24"/>
                <w:highlight w:val="none"/>
                <w:shd w:val="clear" w:color="auto" w:fill="FFFFFF"/>
                <w:lang w:val="en-US" w:eastAsia="zh-CN" w:bidi="ar-SA"/>
              </w:rPr>
              <w:t>(0-3.75]分。</w:t>
            </w:r>
          </w:p>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zh-CN" w:eastAsia="zh-CN" w:bidi="ar-SA"/>
              </w:rPr>
              <w:t>2、针对本项目的安全</w:t>
            </w:r>
            <w:r>
              <w:rPr>
                <w:rFonts w:hint="eastAsia" w:ascii="仿宋" w:hAnsi="仿宋" w:eastAsia="仿宋" w:cs="仿宋"/>
                <w:color w:val="auto"/>
                <w:kern w:val="0"/>
                <w:sz w:val="24"/>
                <w:szCs w:val="24"/>
                <w:highlight w:val="none"/>
                <w:shd w:val="clear" w:color="auto" w:fill="FFFFFF"/>
                <w:lang w:val="en-US" w:eastAsia="zh-CN" w:bidi="ar-SA"/>
              </w:rPr>
              <w:t>文明施工方案（10分）</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根据本项目的特点，建立健全安全文明施工管理方案，详细分析维保过程中存在的各种危险有害因素及安全隐患，并制定安全有效的风险控制措施及应急措施。</w:t>
            </w:r>
            <w:r>
              <w:rPr>
                <w:rFonts w:hint="eastAsia" w:ascii="仿宋" w:hAnsi="仿宋" w:eastAsia="仿宋" w:cs="仿宋"/>
                <w:color w:val="auto"/>
                <w:kern w:val="0"/>
                <w:sz w:val="24"/>
                <w:szCs w:val="24"/>
                <w:highlight w:val="none"/>
                <w:shd w:val="clear" w:color="auto" w:fill="FFFFFF"/>
                <w:lang w:val="zh-CN" w:eastAsia="zh-CN" w:bidi="ar-SA"/>
              </w:rPr>
              <w:t>优(</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10</w:t>
            </w:r>
            <w:r>
              <w:rPr>
                <w:rFonts w:hint="eastAsia" w:ascii="仿宋" w:hAnsi="仿宋" w:eastAsia="仿宋" w:cs="仿宋"/>
                <w:color w:val="auto"/>
                <w:kern w:val="0"/>
                <w:sz w:val="24"/>
                <w:szCs w:val="24"/>
                <w:highlight w:val="none"/>
                <w:shd w:val="clear" w:color="auto" w:fill="FFFFFF"/>
                <w:lang w:val="zh-CN" w:eastAsia="zh-CN" w:bidi="ar-SA"/>
              </w:rPr>
              <w:t>.0</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分，良(</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分，一般(</w:t>
            </w:r>
            <w:r>
              <w:rPr>
                <w:rFonts w:hint="eastAsia" w:ascii="仿宋" w:hAnsi="仿宋" w:eastAsia="仿宋" w:cs="仿宋"/>
                <w:color w:val="auto"/>
                <w:kern w:val="0"/>
                <w:sz w:val="24"/>
                <w:szCs w:val="24"/>
                <w:highlight w:val="none"/>
                <w:shd w:val="clear" w:color="auto" w:fill="FFFFFF"/>
                <w:lang w:val="en-US" w:eastAsia="zh-CN" w:bidi="ar-SA"/>
              </w:rPr>
              <w:t>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分，差</w:t>
            </w:r>
            <w:r>
              <w:rPr>
                <w:rFonts w:hint="eastAsia" w:ascii="仿宋" w:hAnsi="仿宋" w:eastAsia="仿宋" w:cs="仿宋"/>
                <w:color w:val="auto"/>
                <w:kern w:val="0"/>
                <w:sz w:val="24"/>
                <w:szCs w:val="24"/>
                <w:highlight w:val="none"/>
                <w:shd w:val="clear" w:color="auto" w:fill="FFFFFF"/>
                <w:lang w:val="en-US" w:eastAsia="zh-CN" w:bidi="ar-SA"/>
              </w:rPr>
              <w:t>(0-2.5]分。</w:t>
            </w:r>
          </w:p>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3、针对本项目的合理化建议（5分）：根据本项目登机桥的运行特点，围绕登机桥安全运行、稳定运行、降本增效等方面提出合理化建议。</w:t>
            </w:r>
            <w:r>
              <w:rPr>
                <w:rFonts w:hint="eastAsia" w:ascii="仿宋" w:hAnsi="仿宋" w:eastAsia="仿宋" w:cs="仿宋"/>
                <w:color w:val="auto"/>
                <w:kern w:val="0"/>
                <w:sz w:val="24"/>
                <w:szCs w:val="24"/>
                <w:highlight w:val="none"/>
                <w:shd w:val="clear" w:color="auto" w:fill="FFFFFF"/>
                <w:lang w:val="zh-CN" w:eastAsia="zh-CN" w:bidi="ar-SA"/>
              </w:rPr>
              <w:t>优(</w:t>
            </w:r>
            <w:r>
              <w:rPr>
                <w:rFonts w:hint="eastAsia" w:ascii="仿宋" w:hAnsi="仿宋" w:eastAsia="仿宋" w:cs="仿宋"/>
                <w:color w:val="auto"/>
                <w:kern w:val="0"/>
                <w:sz w:val="24"/>
                <w:szCs w:val="24"/>
                <w:highlight w:val="none"/>
                <w:shd w:val="clear" w:color="auto" w:fill="FFFFFF"/>
                <w:lang w:val="en-US" w:eastAsia="zh-CN" w:bidi="ar-SA"/>
              </w:rPr>
              <w:t>3.75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分，良(</w:t>
            </w:r>
            <w:r>
              <w:rPr>
                <w:rFonts w:hint="eastAsia" w:ascii="仿宋" w:hAnsi="仿宋" w:eastAsia="仿宋" w:cs="仿宋"/>
                <w:color w:val="auto"/>
                <w:kern w:val="0"/>
                <w:sz w:val="24"/>
                <w:szCs w:val="24"/>
                <w:highlight w:val="none"/>
                <w:shd w:val="clear" w:color="auto" w:fill="FFFFFF"/>
                <w:lang w:val="en-US" w:eastAsia="zh-CN" w:bidi="ar-SA"/>
              </w:rPr>
              <w:t>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3.75]</w:t>
            </w:r>
            <w:r>
              <w:rPr>
                <w:rFonts w:hint="eastAsia" w:ascii="仿宋" w:hAnsi="仿宋" w:eastAsia="仿宋" w:cs="仿宋"/>
                <w:color w:val="auto"/>
                <w:kern w:val="0"/>
                <w:sz w:val="24"/>
                <w:szCs w:val="24"/>
                <w:highlight w:val="none"/>
                <w:shd w:val="clear" w:color="auto" w:fill="FFFFFF"/>
                <w:lang w:val="zh-CN" w:eastAsia="zh-CN" w:bidi="ar-SA"/>
              </w:rPr>
              <w:t>分，一般(</w:t>
            </w:r>
            <w:r>
              <w:rPr>
                <w:rFonts w:hint="eastAsia" w:ascii="仿宋" w:hAnsi="仿宋" w:eastAsia="仿宋" w:cs="仿宋"/>
                <w:color w:val="auto"/>
                <w:kern w:val="0"/>
                <w:sz w:val="24"/>
                <w:szCs w:val="24"/>
                <w:highlight w:val="none"/>
                <w:shd w:val="clear" w:color="auto" w:fill="FFFFFF"/>
                <w:lang w:val="en-US" w:eastAsia="zh-CN" w:bidi="ar-SA"/>
              </w:rPr>
              <w:t>1.25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2.5]</w:t>
            </w:r>
            <w:r>
              <w:rPr>
                <w:rFonts w:hint="eastAsia" w:ascii="仿宋" w:hAnsi="仿宋" w:eastAsia="仿宋" w:cs="仿宋"/>
                <w:color w:val="auto"/>
                <w:kern w:val="0"/>
                <w:sz w:val="24"/>
                <w:szCs w:val="24"/>
                <w:highlight w:val="none"/>
                <w:shd w:val="clear" w:color="auto" w:fill="FFFFFF"/>
                <w:lang w:val="zh-CN" w:eastAsia="zh-CN" w:bidi="ar-SA"/>
              </w:rPr>
              <w:t>分，差</w:t>
            </w:r>
            <w:r>
              <w:rPr>
                <w:rFonts w:hint="eastAsia" w:ascii="仿宋" w:hAnsi="仿宋" w:eastAsia="仿宋" w:cs="仿宋"/>
                <w:color w:val="auto"/>
                <w:kern w:val="0"/>
                <w:sz w:val="24"/>
                <w:szCs w:val="24"/>
                <w:highlight w:val="none"/>
                <w:shd w:val="clear" w:color="auto" w:fill="FFFFFF"/>
                <w:lang w:val="en-US" w:eastAsia="zh-CN" w:bidi="ar-SA"/>
              </w:rPr>
              <w:t>(0-1.25]分。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企业能力</w:t>
            </w:r>
          </w:p>
        </w:tc>
        <w:tc>
          <w:tcPr>
            <w:tcW w:w="947" w:type="dxa"/>
            <w:noWrap w:val="0"/>
            <w:vAlign w:val="center"/>
          </w:tcPr>
          <w:p>
            <w:pPr>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12分</w:t>
            </w:r>
          </w:p>
        </w:tc>
        <w:tc>
          <w:tcPr>
            <w:tcW w:w="6197" w:type="dxa"/>
            <w:gridSpan w:val="2"/>
            <w:noWrap w:val="0"/>
            <w:vAlign w:val="center"/>
          </w:tcPr>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1、企业体系认证（满分3分）：</w:t>
            </w:r>
          </w:p>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具备有效的质量管理体系认证证书、环境管理体系认证证书、职业健康安全管理体系认证证书，有1个得1分，最高得3分。</w:t>
            </w:r>
          </w:p>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2、人员资质（满分9分）：</w:t>
            </w:r>
          </w:p>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①项目负责人：具有机械或电气专业中级及以上职称的得2分（一级建造师机电专业职业资格证书视同于中级职称）；</w:t>
            </w:r>
            <w:r>
              <w:rPr>
                <w:rFonts w:hint="default" w:ascii="仿宋" w:hAnsi="仿宋" w:eastAsia="仿宋" w:cs="仿宋"/>
                <w:color w:val="auto"/>
                <w:kern w:val="0"/>
                <w:sz w:val="24"/>
                <w:szCs w:val="24"/>
                <w:highlight w:val="none"/>
                <w:shd w:val="clear" w:color="auto" w:fill="FFFFFF"/>
                <w:lang w:val="en-US" w:eastAsia="zh-CN" w:bidi="ar-SA"/>
              </w:rPr>
              <w:t>提供证书</w:t>
            </w:r>
            <w:r>
              <w:rPr>
                <w:rFonts w:hint="eastAsia" w:ascii="仿宋" w:hAnsi="仿宋" w:eastAsia="仿宋" w:cs="仿宋"/>
                <w:color w:val="auto"/>
                <w:kern w:val="0"/>
                <w:sz w:val="24"/>
                <w:szCs w:val="24"/>
                <w:highlight w:val="none"/>
                <w:shd w:val="clear" w:color="auto" w:fill="FFFFFF"/>
                <w:lang w:val="en-US" w:eastAsia="zh-CN" w:bidi="ar-SA"/>
              </w:rPr>
              <w:t>复印件（或电子证书）</w:t>
            </w:r>
            <w:r>
              <w:rPr>
                <w:rFonts w:hint="default"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en-US" w:eastAsia="zh-CN" w:bidi="ar-SA"/>
              </w:rPr>
              <w:t>2024年3月-5月连续三个月社保缴纳证明</w:t>
            </w:r>
            <w:r>
              <w:rPr>
                <w:rFonts w:hint="default" w:ascii="仿宋" w:hAnsi="仿宋" w:eastAsia="仿宋" w:cs="仿宋"/>
                <w:color w:val="auto"/>
                <w:kern w:val="0"/>
                <w:sz w:val="24"/>
                <w:szCs w:val="24"/>
                <w:highlight w:val="none"/>
                <w:shd w:val="clear" w:color="auto" w:fill="FFFFFF"/>
                <w:lang w:val="en-US" w:eastAsia="zh-CN" w:bidi="ar-SA"/>
              </w:rPr>
              <w:t>。</w:t>
            </w:r>
          </w:p>
          <w:p>
            <w:pPr>
              <w:pStyle w:val="24"/>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②</w:t>
            </w:r>
            <w:r>
              <w:rPr>
                <w:rFonts w:hint="eastAsia" w:ascii="仿宋" w:hAnsi="仿宋" w:eastAsia="仿宋" w:cs="仿宋"/>
                <w:b w:val="0"/>
                <w:bCs w:val="0"/>
                <w:highlight w:val="none"/>
                <w:shd w:val="clear" w:color="auto" w:fill="FFFFFF"/>
                <w:lang w:val="en-US" w:eastAsia="zh-CN"/>
              </w:rPr>
              <w:t>维保作业人员：提供5名同时具备低压电工证和登高证的维保人员材料证明，在上述5名维保人员中，每1人另外具备焊工证的，得1分，最高得3分。</w:t>
            </w:r>
            <w:r>
              <w:rPr>
                <w:rFonts w:hint="default" w:ascii="仿宋" w:hAnsi="仿宋" w:eastAsia="仿宋" w:cs="仿宋"/>
                <w:color w:val="auto"/>
                <w:kern w:val="0"/>
                <w:sz w:val="24"/>
                <w:szCs w:val="24"/>
                <w:highlight w:val="none"/>
                <w:shd w:val="clear" w:color="auto" w:fill="FFFFFF"/>
                <w:lang w:val="en-US" w:eastAsia="zh-CN" w:bidi="ar-SA"/>
              </w:rPr>
              <w:t>提供证书</w:t>
            </w:r>
            <w:r>
              <w:rPr>
                <w:rFonts w:hint="eastAsia" w:ascii="仿宋" w:hAnsi="仿宋" w:eastAsia="仿宋" w:cs="仿宋"/>
                <w:color w:val="auto"/>
                <w:kern w:val="0"/>
                <w:sz w:val="24"/>
                <w:szCs w:val="24"/>
                <w:highlight w:val="none"/>
                <w:shd w:val="clear" w:color="auto" w:fill="FFFFFF"/>
                <w:lang w:val="en-US" w:eastAsia="zh-CN" w:bidi="ar-SA"/>
              </w:rPr>
              <w:t>复印件（或电子证书）</w:t>
            </w:r>
            <w:r>
              <w:rPr>
                <w:rFonts w:hint="default"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en-US" w:eastAsia="zh-CN" w:bidi="ar-SA"/>
              </w:rPr>
              <w:t>2024年3月-5月连续三个月社保缴纳证明，未能提供5</w:t>
            </w:r>
            <w:r>
              <w:rPr>
                <w:rFonts w:hint="eastAsia" w:ascii="仿宋" w:hAnsi="仿宋" w:eastAsia="仿宋" w:cs="仿宋"/>
                <w:b w:val="0"/>
                <w:bCs w:val="0"/>
                <w:highlight w:val="none"/>
                <w:shd w:val="clear" w:color="auto" w:fill="FFFFFF"/>
                <w:lang w:val="en-US" w:eastAsia="zh-CN"/>
              </w:rPr>
              <w:t>名同时具备低压电工证和登高证的维保人员证明材料的，不得分</w:t>
            </w:r>
            <w:r>
              <w:rPr>
                <w:rFonts w:hint="default" w:ascii="仿宋" w:hAnsi="仿宋" w:eastAsia="仿宋" w:cs="仿宋"/>
                <w:color w:val="auto"/>
                <w:kern w:val="0"/>
                <w:sz w:val="24"/>
                <w:szCs w:val="24"/>
                <w:highlight w:val="none"/>
                <w:shd w:val="clear" w:color="auto" w:fill="FFFFFF"/>
                <w:lang w:val="en-US" w:eastAsia="zh-CN" w:bidi="ar-SA"/>
              </w:rPr>
              <w:t>。</w:t>
            </w:r>
          </w:p>
          <w:p>
            <w:pPr>
              <w:pStyle w:val="24"/>
              <w:rPr>
                <w:rFonts w:hint="default" w:ascii="仿宋" w:hAnsi="仿宋" w:eastAsia="仿宋" w:cs="仿宋"/>
                <w:bCs w:val="0"/>
                <w:color w:val="auto"/>
                <w:kern w:val="0"/>
                <w:sz w:val="24"/>
                <w:szCs w:val="24"/>
                <w:highlight w:val="none"/>
                <w:shd w:val="clear" w:color="auto" w:fill="FFFFFF"/>
                <w:lang w:val="en-US" w:eastAsia="zh-CN"/>
              </w:rPr>
            </w:pPr>
            <w:r>
              <w:rPr>
                <w:rFonts w:hint="default" w:ascii="仿宋" w:hAnsi="仿宋" w:eastAsia="仿宋" w:cs="仿宋"/>
                <w:color w:val="auto"/>
                <w:kern w:val="0"/>
                <w:sz w:val="24"/>
                <w:szCs w:val="24"/>
                <w:highlight w:val="none"/>
                <w:shd w:val="clear" w:color="auto" w:fill="FFFFFF"/>
                <w:lang w:val="en-US" w:eastAsia="zh-CN" w:bidi="ar-SA"/>
              </w:rPr>
              <w:t>③</w:t>
            </w:r>
            <w:r>
              <w:rPr>
                <w:rFonts w:hint="eastAsia" w:ascii="仿宋" w:hAnsi="仿宋" w:eastAsia="仿宋" w:cs="仿宋"/>
                <w:color w:val="auto"/>
                <w:kern w:val="0"/>
                <w:sz w:val="24"/>
                <w:szCs w:val="24"/>
                <w:highlight w:val="none"/>
                <w:shd w:val="clear" w:color="auto" w:fill="FFFFFF"/>
                <w:lang w:val="en-US" w:eastAsia="zh-CN" w:bidi="ar-SA"/>
              </w:rPr>
              <w:t>技术支持</w:t>
            </w:r>
            <w:r>
              <w:rPr>
                <w:rFonts w:hint="default" w:ascii="仿宋" w:hAnsi="仿宋" w:eastAsia="仿宋" w:cs="仿宋"/>
                <w:color w:val="auto"/>
                <w:kern w:val="0"/>
                <w:sz w:val="24"/>
                <w:szCs w:val="24"/>
                <w:highlight w:val="none"/>
                <w:shd w:val="clear" w:color="auto" w:fill="FFFFFF"/>
                <w:lang w:val="en-US" w:eastAsia="zh-CN" w:bidi="ar-SA"/>
              </w:rPr>
              <w:t>人员</w:t>
            </w:r>
            <w:r>
              <w:rPr>
                <w:rFonts w:hint="eastAsia" w:ascii="仿宋" w:hAnsi="仿宋" w:eastAsia="仿宋" w:cs="仿宋"/>
                <w:color w:val="auto"/>
                <w:kern w:val="0"/>
                <w:sz w:val="24"/>
                <w:szCs w:val="24"/>
                <w:highlight w:val="none"/>
                <w:shd w:val="clear" w:color="auto" w:fill="FFFFFF"/>
                <w:lang w:val="en-US" w:eastAsia="zh-CN" w:bidi="ar-SA"/>
              </w:rPr>
              <w:t>：除项目负责人外，每提供1名具有机械或电气专业中级及以上职称（一级建造师机电专业职业资格证书视同于中级职称）的得2分，最高4分。</w:t>
            </w:r>
            <w:r>
              <w:rPr>
                <w:rFonts w:hint="default" w:ascii="仿宋" w:hAnsi="仿宋" w:eastAsia="仿宋" w:cs="仿宋"/>
                <w:color w:val="auto"/>
                <w:kern w:val="0"/>
                <w:sz w:val="24"/>
                <w:szCs w:val="24"/>
                <w:highlight w:val="none"/>
                <w:shd w:val="clear" w:color="auto" w:fill="FFFFFF"/>
                <w:lang w:val="en-US" w:eastAsia="zh-CN" w:bidi="ar-SA"/>
              </w:rPr>
              <w:t>提供证书</w:t>
            </w:r>
            <w:r>
              <w:rPr>
                <w:rFonts w:hint="eastAsia" w:ascii="仿宋" w:hAnsi="仿宋" w:eastAsia="仿宋" w:cs="仿宋"/>
                <w:color w:val="auto"/>
                <w:kern w:val="0"/>
                <w:sz w:val="24"/>
                <w:szCs w:val="24"/>
                <w:highlight w:val="none"/>
                <w:shd w:val="clear" w:color="auto" w:fill="FFFFFF"/>
                <w:lang w:val="en-US" w:eastAsia="zh-CN" w:bidi="ar-SA"/>
              </w:rPr>
              <w:t>复印件（或电子证书）</w:t>
            </w:r>
            <w:r>
              <w:rPr>
                <w:rFonts w:hint="default"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en-US" w:eastAsia="zh-CN" w:bidi="ar-SA"/>
              </w:rPr>
              <w:t>2024年3月-5月连续三个月社保缴纳证明</w:t>
            </w:r>
            <w:r>
              <w:rPr>
                <w:rFonts w:hint="default" w:ascii="仿宋" w:hAnsi="仿宋" w:eastAsia="仿宋" w:cs="仿宋"/>
                <w:color w:val="auto"/>
                <w:kern w:val="0"/>
                <w:sz w:val="24"/>
                <w:szCs w:val="24"/>
                <w:highlight w:val="none"/>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color w:val="auto"/>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SA"/>
              </w:rPr>
              <w:t>企业业绩</w:t>
            </w:r>
          </w:p>
        </w:tc>
        <w:tc>
          <w:tcPr>
            <w:tcW w:w="947" w:type="dxa"/>
            <w:noWrap w:val="0"/>
            <w:vAlign w:val="center"/>
          </w:tcPr>
          <w:p>
            <w:pPr>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15分</w:t>
            </w:r>
          </w:p>
        </w:tc>
        <w:tc>
          <w:tcPr>
            <w:tcW w:w="6197" w:type="dxa"/>
            <w:gridSpan w:val="2"/>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zh-CN" w:eastAsia="zh-CN" w:bidi="ar-SA"/>
              </w:rPr>
              <w:t>投标人</w:t>
            </w:r>
            <w:r>
              <w:rPr>
                <w:rFonts w:hint="eastAsia" w:ascii="仿宋" w:hAnsi="仿宋" w:eastAsia="仿宋" w:cs="仿宋"/>
                <w:color w:val="auto"/>
                <w:kern w:val="0"/>
                <w:sz w:val="24"/>
                <w:szCs w:val="24"/>
                <w:highlight w:val="none"/>
                <w:shd w:val="clear" w:color="auto" w:fill="FFFFFF"/>
                <w:lang w:val="en-US" w:eastAsia="zh-CN" w:bidi="ar-SA"/>
              </w:rPr>
              <w:t>提供2021</w:t>
            </w:r>
            <w:r>
              <w:rPr>
                <w:rFonts w:hint="eastAsia" w:ascii="仿宋" w:hAnsi="仿宋" w:eastAsia="仿宋" w:cs="仿宋"/>
                <w:color w:val="auto"/>
                <w:kern w:val="0"/>
                <w:sz w:val="24"/>
                <w:szCs w:val="24"/>
                <w:highlight w:val="none"/>
                <w:shd w:val="clear" w:color="auto" w:fill="FFFFFF"/>
                <w:lang w:val="zh-CN" w:eastAsia="zh-CN" w:bidi="ar-SA"/>
              </w:rPr>
              <w:t>年</w:t>
            </w:r>
            <w:r>
              <w:rPr>
                <w:rFonts w:hint="eastAsia" w:ascii="仿宋" w:hAnsi="仿宋" w:eastAsia="仿宋" w:cs="仿宋"/>
                <w:color w:val="auto"/>
                <w:kern w:val="0"/>
                <w:sz w:val="24"/>
                <w:szCs w:val="24"/>
                <w:highlight w:val="none"/>
                <w:shd w:val="clear" w:color="auto" w:fill="FFFFFF"/>
                <w:lang w:val="en-US" w:eastAsia="zh-CN" w:bidi="ar-SA"/>
              </w:rPr>
              <w:t>1月1日</w:t>
            </w:r>
            <w:r>
              <w:rPr>
                <w:rFonts w:hint="eastAsia" w:ascii="仿宋" w:hAnsi="仿宋" w:eastAsia="仿宋" w:cs="仿宋"/>
                <w:color w:val="auto"/>
                <w:kern w:val="0"/>
                <w:sz w:val="24"/>
                <w:szCs w:val="24"/>
                <w:highlight w:val="none"/>
                <w:shd w:val="clear" w:color="auto" w:fill="FFFFFF"/>
                <w:lang w:val="zh-CN" w:eastAsia="zh-CN" w:bidi="ar-SA"/>
              </w:rPr>
              <w:t>以来旅客登机桥维保服务业绩（满分</w:t>
            </w:r>
            <w:r>
              <w:rPr>
                <w:rFonts w:hint="eastAsia" w:ascii="仿宋" w:hAnsi="仿宋" w:eastAsia="仿宋" w:cs="仿宋"/>
                <w:color w:val="auto"/>
                <w:kern w:val="0"/>
                <w:sz w:val="24"/>
                <w:szCs w:val="24"/>
                <w:highlight w:val="none"/>
                <w:shd w:val="clear" w:color="auto" w:fill="FFFFFF"/>
                <w:lang w:val="en-US" w:eastAsia="zh-CN" w:bidi="ar-SA"/>
              </w:rPr>
              <w:t>15分</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w:t>
            </w:r>
          </w:p>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①</w:t>
            </w:r>
            <w:r>
              <w:rPr>
                <w:rFonts w:hint="eastAsia" w:ascii="仿宋" w:hAnsi="仿宋" w:eastAsia="仿宋" w:cs="仿宋"/>
                <w:color w:val="auto"/>
                <w:kern w:val="0"/>
                <w:sz w:val="24"/>
                <w:szCs w:val="24"/>
                <w:highlight w:val="none"/>
                <w:shd w:val="clear" w:color="auto" w:fill="FFFFFF"/>
                <w:lang w:val="zh-CN" w:eastAsia="zh-CN" w:bidi="ar-SA"/>
              </w:rPr>
              <w:t>每提供一份独立承担单个项目电液混合式旅客登机桥数量在</w:t>
            </w:r>
            <w:r>
              <w:rPr>
                <w:rFonts w:hint="eastAsia" w:ascii="仿宋" w:hAnsi="仿宋" w:eastAsia="仿宋" w:cs="仿宋"/>
                <w:color w:val="auto"/>
                <w:kern w:val="0"/>
                <w:sz w:val="24"/>
                <w:szCs w:val="24"/>
                <w:highlight w:val="none"/>
                <w:shd w:val="clear" w:color="auto" w:fill="FFFFFF"/>
                <w:lang w:val="en-US" w:eastAsia="zh-CN" w:bidi="ar-SA"/>
              </w:rPr>
              <w:t>[6-10]座维保合同的，得3分。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en-US" w:eastAsia="zh-CN" w:bidi="ar-SA"/>
              </w:rPr>
              <w:t>②</w:t>
            </w:r>
            <w:r>
              <w:rPr>
                <w:rFonts w:hint="eastAsia" w:ascii="仿宋" w:hAnsi="仿宋" w:eastAsia="仿宋" w:cs="仿宋"/>
                <w:color w:val="auto"/>
                <w:kern w:val="0"/>
                <w:sz w:val="24"/>
                <w:szCs w:val="24"/>
                <w:highlight w:val="none"/>
                <w:shd w:val="clear" w:color="auto" w:fill="FFFFFF"/>
                <w:lang w:val="zh-CN" w:eastAsia="zh-CN" w:bidi="ar-SA"/>
              </w:rPr>
              <w:t>每提供一份独立承担单个项目电液混合式旅客登机桥数量在</w:t>
            </w:r>
            <w:r>
              <w:rPr>
                <w:rFonts w:hint="eastAsia" w:ascii="仿宋" w:hAnsi="仿宋" w:eastAsia="仿宋" w:cs="仿宋"/>
                <w:color w:val="auto"/>
                <w:kern w:val="0"/>
                <w:sz w:val="24"/>
                <w:szCs w:val="24"/>
                <w:highlight w:val="none"/>
                <w:shd w:val="clear" w:color="auto" w:fill="FFFFFF"/>
                <w:lang w:val="en-US" w:eastAsia="zh-CN" w:bidi="ar-SA"/>
              </w:rPr>
              <w:t>11座(含)以上维保合同的，得5分</w:t>
            </w:r>
            <w:r>
              <w:rPr>
                <w:rFonts w:hint="eastAsia" w:ascii="仿宋" w:hAnsi="仿宋" w:eastAsia="仿宋" w:cs="仿宋"/>
                <w:color w:val="auto"/>
                <w:kern w:val="0"/>
                <w:sz w:val="24"/>
                <w:szCs w:val="24"/>
                <w:highlight w:val="none"/>
                <w:shd w:val="clear" w:color="auto" w:fill="FFFFFF"/>
                <w:lang w:val="zh-CN" w:eastAsia="zh-CN" w:bidi="ar-SA"/>
              </w:rPr>
              <w:t>。</w:t>
            </w:r>
          </w:p>
          <w:p>
            <w:pPr>
              <w:pStyle w:val="6"/>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注：提供合同复印件和维保服务费用结算发票，同一投标人同一</w:t>
            </w:r>
            <w:r>
              <w:rPr>
                <w:rFonts w:hint="eastAsia" w:ascii="仿宋" w:hAnsi="仿宋" w:eastAsia="仿宋" w:cs="仿宋"/>
                <w:color w:val="auto"/>
                <w:kern w:val="0"/>
                <w:sz w:val="24"/>
                <w:szCs w:val="24"/>
                <w:highlight w:val="none"/>
                <w:shd w:val="clear" w:color="auto" w:fill="FFFFFF"/>
                <w:lang w:val="en-US" w:eastAsia="zh-CN" w:bidi="ar-SA"/>
              </w:rPr>
              <w:t>单位的业</w:t>
            </w:r>
            <w:r>
              <w:rPr>
                <w:rFonts w:hint="eastAsia" w:ascii="仿宋" w:hAnsi="仿宋" w:eastAsia="仿宋" w:cs="仿宋"/>
                <w:color w:val="auto"/>
                <w:kern w:val="0"/>
                <w:sz w:val="24"/>
                <w:szCs w:val="24"/>
                <w:highlight w:val="none"/>
                <w:shd w:val="clear" w:color="auto" w:fill="FFFFFF"/>
                <w:lang w:val="zh-CN" w:eastAsia="zh-CN" w:bidi="ar-SA"/>
              </w:rPr>
              <w:t>绩</w:t>
            </w:r>
            <w:r>
              <w:rPr>
                <w:rFonts w:hint="eastAsia" w:ascii="仿宋" w:hAnsi="仿宋" w:eastAsia="仿宋" w:cs="仿宋"/>
                <w:color w:val="auto"/>
                <w:kern w:val="0"/>
                <w:sz w:val="24"/>
                <w:szCs w:val="24"/>
                <w:highlight w:val="none"/>
                <w:shd w:val="clear" w:color="auto" w:fill="FFFFFF"/>
                <w:lang w:val="en-US" w:eastAsia="zh-CN" w:bidi="ar-SA"/>
              </w:rPr>
              <w:t>取最高金额的业绩</w:t>
            </w:r>
            <w:r>
              <w:rPr>
                <w:rFonts w:hint="eastAsia" w:ascii="仿宋" w:hAnsi="仿宋" w:eastAsia="仿宋" w:cs="仿宋"/>
                <w:color w:val="auto"/>
                <w:kern w:val="0"/>
                <w:sz w:val="24"/>
                <w:szCs w:val="24"/>
                <w:highlight w:val="none"/>
                <w:shd w:val="clear" w:color="auto" w:fill="FFFFFF"/>
                <w:lang w:val="zh-CN" w:eastAsia="zh-CN" w:bidi="ar-SA"/>
              </w:rPr>
              <w:t>按一例计算。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增值服务</w:t>
            </w:r>
          </w:p>
        </w:tc>
        <w:tc>
          <w:tcPr>
            <w:tcW w:w="947" w:type="dxa"/>
            <w:noWrap w:val="0"/>
            <w:vAlign w:val="center"/>
          </w:tcPr>
          <w:p>
            <w:pPr>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3分</w:t>
            </w:r>
          </w:p>
        </w:tc>
        <w:tc>
          <w:tcPr>
            <w:tcW w:w="6197" w:type="dxa"/>
            <w:gridSpan w:val="2"/>
            <w:shd w:val="clear" w:color="auto" w:fill="auto"/>
            <w:noWrap w:val="0"/>
            <w:vAlign w:val="center"/>
          </w:tcPr>
          <w:p>
            <w:pPr>
              <w:pStyle w:val="6"/>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投标人对所更换的配件自更换验收合格之日起提供至少12个月免费质保。提供的免费质保期，每超过6个月的，得1分，满分3分。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98" w:type="dxa"/>
            <w:noWrap w:val="0"/>
            <w:vAlign w:val="center"/>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备注</w:t>
            </w:r>
          </w:p>
        </w:tc>
        <w:tc>
          <w:tcPr>
            <w:tcW w:w="7144" w:type="dxa"/>
            <w:gridSpan w:val="3"/>
            <w:noWrap w:val="0"/>
            <w:vAlign w:val="center"/>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1、技术响应部分最小计分单位为0.1分。</w:t>
            </w:r>
          </w:p>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2、评标委员会成员评审计分工作实行实名制。将所有评标委员会成员评分的算术平均值作为投标人的综合得分，评分分值计算保留小数点后两位，小数点后第三位“四舍五入”；评标委员会按每个投标人的综合得分从高到低进行排序，并据此推荐中标候选人。</w:t>
            </w:r>
          </w:p>
        </w:tc>
      </w:tr>
    </w:tbl>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中标候选人，招标人根据得分第一的确定为中标人。</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招标文件规定应当提交履约担保而在规定期限未能提交的，招标人可依法确定得分第二的中标候选人为中标人，依此类推，当所有中标候选人因上述原因不能签订合同的，招标人将依法重新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在南通兴东国际机场官网上</w:t>
      </w:r>
      <w:r>
        <w:rPr>
          <w:rFonts w:hint="eastAsia" w:ascii="仿宋" w:hAnsi="仿宋" w:eastAsia="仿宋" w:cs="仿宋"/>
          <w:highlight w:val="none"/>
          <w:shd w:val="clear" w:color="auto" w:fill="FFFFFF"/>
          <w:lang w:val="zh-CN" w:eastAsia="zh-CN"/>
        </w:rPr>
        <w:t>公布采购结果，公示期为3</w:t>
      </w:r>
      <w:r>
        <w:rPr>
          <w:rFonts w:hint="eastAsia" w:ascii="仿宋" w:hAnsi="仿宋" w:eastAsia="仿宋" w:cs="仿宋"/>
          <w:highlight w:val="none"/>
          <w:shd w:val="clear" w:color="auto" w:fill="FFFFFF"/>
          <w:lang w:val="en-US" w:eastAsia="zh-CN"/>
        </w:rPr>
        <w:t>个工作</w:t>
      </w:r>
      <w:r>
        <w:rPr>
          <w:rFonts w:hint="eastAsia" w:ascii="仿宋" w:hAnsi="仿宋" w:eastAsia="仿宋" w:cs="仿宋"/>
          <w:highlight w:val="none"/>
          <w:shd w:val="clear" w:color="auto" w:fill="FFFFFF"/>
          <w:lang w:val="zh-CN" w:eastAsia="zh-CN"/>
        </w:rPr>
        <w:t>日。</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招标人提交履约金，中标人不能提交履约担保的，视为放弃中标，其投标保证金不予退还，给招标人造成的损失超过投标保证金数额的，中标人还应当对超过部分予以赔偿。履约金在合同履行完成后无息退还。</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中标人应当自中标通知书发出之日起30天内，根据招标文件和中标人的投标文件与招标人订立书面合同。中标人无正当理由拒签合同的，招标人取消其中标资格。</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）未提交投标保证金的；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）投标文件未按招标文件要求签署、盖章的；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）投标人在报价时采用选择性报价；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）不具备招标文件中规定的资格要求的；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）报价超过招标文件中规定的预算金额或者最高限价的；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）投标文件含有采购人不能接受的附加条件的;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）未通过符合性检查的；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）不符合招标文件中规定的其他实质性要求和条件的；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9</w:t>
      </w:r>
      <w:r>
        <w:rPr>
          <w:rFonts w:hint="eastAsia" w:ascii="仿宋" w:hAnsi="仿宋" w:eastAsia="仿宋" w:cs="仿宋"/>
          <w:highlight w:val="none"/>
          <w:shd w:val="clear" w:color="auto" w:fill="FFFFFF"/>
          <w:lang w:val="zh-CN" w:eastAsia="zh-CN"/>
        </w:rPr>
        <w:t>）法律、法规及本招标文件规定的属无效投标的情形。</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）评标委员会认定招标文件存在歧义、重大缺陷导致评审工作无法进行。</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）投标截止时间止，有效投标人少于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）符合国家、省、市采购招标文件中规定情形，导致中标无效，并且应当重新招标的。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）重新招标后有效投标人仍少于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）重新招标后</w:t>
      </w:r>
      <w:r>
        <w:rPr>
          <w:rFonts w:hint="eastAsia" w:ascii="仿宋" w:hAnsi="仿宋" w:eastAsia="仿宋" w:cs="仿宋"/>
          <w:highlight w:val="none"/>
          <w:shd w:val="clear" w:color="auto" w:fill="FFFFFF"/>
          <w:lang w:val="en-US" w:eastAsia="zh-CN"/>
        </w:rPr>
        <w:t>有效投标人只有2个的，改为竞争性磋商，评标方式不变，二次报价。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）重新招标后</w:t>
      </w:r>
      <w:r>
        <w:rPr>
          <w:rFonts w:hint="eastAsia" w:ascii="仿宋" w:hAnsi="仿宋" w:eastAsia="仿宋" w:cs="仿宋"/>
          <w:highlight w:val="none"/>
          <w:shd w:val="clear" w:color="auto" w:fill="FFFFFF"/>
          <w:lang w:val="en-US" w:eastAsia="zh-CN"/>
        </w:rPr>
        <w:t>有效投标人只有1个的，改为商务谈判。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auto"/>
          <w:kern w:val="0"/>
          <w:sz w:val="24"/>
          <w:szCs w:val="24"/>
          <w:highlight w:val="none"/>
          <w:shd w:val="clear" w:color="auto" w:fill="FFFFFF"/>
          <w:lang w:val="en-US" w:eastAsia="zh-CN" w:bidi="ar-SA"/>
        </w:rPr>
      </w:pPr>
      <w:r>
        <w:rPr>
          <w:rFonts w:hint="eastAsia" w:ascii="黑体" w:hAnsi="黑体" w:eastAsia="黑体" w:cs="黑体"/>
          <w:color w:val="auto"/>
          <w:kern w:val="0"/>
          <w:sz w:val="24"/>
          <w:szCs w:val="24"/>
          <w:highlight w:val="none"/>
          <w:shd w:val="clear" w:color="auto" w:fill="FFFFFF"/>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南通机场集团有限公司通过公开招标方式采购旅客登机桥维保服务，邀请合格供应商参加投标。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auto"/>
          <w:kern w:val="0"/>
          <w:sz w:val="24"/>
          <w:szCs w:val="24"/>
          <w:highlight w:val="none"/>
          <w:shd w:val="clear" w:color="auto" w:fill="FFFFFF"/>
          <w:lang w:val="en-US" w:eastAsia="zh-CN" w:bidi="ar-SA"/>
        </w:rPr>
      </w:pPr>
      <w:r>
        <w:rPr>
          <w:rFonts w:hint="eastAsia" w:ascii="黑体" w:hAnsi="黑体" w:eastAsia="黑体" w:cs="黑体"/>
          <w:color w:val="auto"/>
          <w:kern w:val="0"/>
          <w:sz w:val="24"/>
          <w:szCs w:val="24"/>
          <w:highlight w:val="none"/>
          <w:shd w:val="clear" w:color="auto" w:fill="FFFFFF"/>
          <w:lang w:val="en-US" w:eastAsia="zh-CN" w:bidi="ar-SA"/>
        </w:rPr>
        <w:t>二、服务要求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（一）服务团队</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b w:val="0"/>
          <w:bCs w:val="0"/>
          <w:highlight w:val="none"/>
          <w:shd w:val="clear" w:color="auto" w:fill="FFFFFF"/>
          <w:lang w:val="en-US" w:eastAsia="zh-CN"/>
        </w:rPr>
        <w:t>投标人须组建由项目负责人（1名）、机械工程师（1名）、电气工程师（1名）、商务人员（1名）组成的专业团队服务于本项目，</w:t>
      </w:r>
      <w:r>
        <w:rPr>
          <w:rFonts w:hint="eastAsia" w:ascii="仿宋" w:hAnsi="仿宋" w:eastAsia="仿宋" w:cs="仿宋"/>
          <w:b w:val="0"/>
          <w:bCs w:val="0"/>
          <w:color w:val="auto"/>
          <w:highlight w:val="none"/>
          <w:shd w:val="clear" w:color="auto" w:fill="auto"/>
          <w:lang w:val="en-US" w:eastAsia="zh-CN"/>
        </w:rPr>
        <w:t>提供上述人员</w:t>
      </w:r>
      <w:r>
        <w:rPr>
          <w:rFonts w:hint="eastAsia" w:ascii="仿宋" w:hAnsi="仿宋" w:eastAsia="仿宋" w:cs="仿宋"/>
          <w:b w:val="0"/>
          <w:bCs w:val="0"/>
          <w:color w:val="auto"/>
          <w:highlight w:val="none"/>
          <w:shd w:val="clear" w:color="auto" w:fill="auto"/>
          <w:lang w:eastAsia="zh-CN"/>
        </w:rPr>
        <w:t>姓名、通讯号码、劳动合同、身份证、</w:t>
      </w:r>
      <w:r>
        <w:rPr>
          <w:rFonts w:hint="eastAsia" w:ascii="仿宋" w:hAnsi="仿宋" w:eastAsia="仿宋" w:cs="仿宋"/>
          <w:color w:val="auto"/>
          <w:kern w:val="0"/>
          <w:sz w:val="24"/>
          <w:szCs w:val="24"/>
          <w:highlight w:val="none"/>
          <w:shd w:val="clear" w:color="auto" w:fill="FFFFFF"/>
          <w:lang w:val="en-US" w:eastAsia="zh-CN" w:bidi="ar-SA"/>
        </w:rPr>
        <w:t>投标人于2024年3月-5月连续三个月为其缴纳的社保证明材料</w:t>
      </w:r>
      <w:r>
        <w:rPr>
          <w:rFonts w:hint="eastAsia" w:ascii="仿宋" w:hAnsi="仿宋" w:eastAsia="仿宋" w:cs="仿宋"/>
          <w:b w:val="0"/>
          <w:bCs w:val="0"/>
          <w:color w:val="auto"/>
          <w:highlight w:val="none"/>
          <w:shd w:val="clear" w:color="auto" w:fill="auto"/>
          <w:lang w:eastAsia="zh-CN"/>
        </w:rPr>
        <w:t>（提供复印件</w:t>
      </w:r>
      <w:r>
        <w:rPr>
          <w:rFonts w:hint="eastAsia" w:ascii="仿宋" w:hAnsi="仿宋" w:eastAsia="仿宋" w:cs="仿宋"/>
          <w:b w:val="0"/>
          <w:bCs w:val="0"/>
          <w:color w:val="auto"/>
          <w:highlight w:val="none"/>
          <w:shd w:val="clear" w:color="auto" w:fill="auto"/>
          <w:lang w:val="en-US" w:eastAsia="zh-CN"/>
        </w:rPr>
        <w:t>加盖公章</w:t>
      </w:r>
      <w:r>
        <w:rPr>
          <w:rFonts w:hint="eastAsia" w:ascii="仿宋" w:hAnsi="仿宋" w:eastAsia="仿宋" w:cs="仿宋"/>
          <w:b w:val="0"/>
          <w:bCs w:val="0"/>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（二）设备清单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本项目维保的旅客登机桥设备名称、型号、规格、品牌、数量详见《附件1：旅客登机桥设备清单》。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（三）维保内容及要求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投标人严格按照《附件2：旅客登机桥维保服务要求》的内容及要求实施，全面承担旅客登机桥维护保养等相关工作，提供包括但不限于检查、保养、维修等工作，具体如下：</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lang w:val="en-US" w:eastAsia="zh-CN" w:bidi="ar-SA"/>
        </w:rPr>
        <w:t>投标人按照《附件2：旅客登机桥维保服务要求》每季度对维保范围内的旅客登机桥开展一次维护保养，以文字、表格、图片、视频等形式记录维保过程，每次维保工作完成后7日内向招标人出具维保报告。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rPr>
        <w:t>2、</w:t>
      </w:r>
      <w:r>
        <w:rPr>
          <w:rFonts w:hint="eastAsia" w:ascii="仿宋" w:hAnsi="仿宋" w:eastAsia="仿宋" w:cs="仿宋"/>
          <w:color w:val="auto"/>
          <w:kern w:val="0"/>
          <w:sz w:val="24"/>
          <w:szCs w:val="24"/>
          <w:highlight w:val="none"/>
          <w:shd w:val="clear" w:color="auto" w:fill="FFFFFF"/>
          <w:lang w:val="en-US" w:eastAsia="zh-CN" w:bidi="ar-SA"/>
        </w:rPr>
        <w:t>投标人提供365天*24小时远程接报修服务，在接到招标人报修后5分钟内响应并提供技术指导。如需投标人到场参与排故，一般故障须在8小时内到达现场，4小时内解决。重大故障须在6小时内达到现场，48小时内排除故障。未能在规定时间内恢复登机桥正常运行的，甲方有权自行处理，所需费用在投标人的维保费用中扣除。（确因特殊原因无法在规定时间内完成维修的，应提前向招标人说明原因，征得招标人同意后可延长维修时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w:t>
      </w:r>
      <w:r>
        <w:rPr>
          <w:rFonts w:hint="eastAsia" w:ascii="仿宋" w:hAnsi="仿宋" w:eastAsia="仿宋" w:cs="仿宋"/>
          <w:color w:val="auto"/>
          <w:kern w:val="0"/>
          <w:sz w:val="24"/>
          <w:szCs w:val="24"/>
          <w:highlight w:val="none"/>
          <w:shd w:val="clear" w:color="auto" w:fill="FFFFFF"/>
          <w:lang w:val="en-US" w:eastAsia="zh-CN" w:bidi="ar-SA"/>
        </w:rPr>
        <w:t>在维保工作开展过程中，投标人应充分发挥技术优势，识别登机桥运行中存在的安全隐患，提出合理化整改建议，配合招标人开展安全隐患整改。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4.</w:t>
      </w:r>
      <w:r>
        <w:rPr>
          <w:rFonts w:hint="eastAsia" w:ascii="仿宋" w:hAnsi="仿宋" w:eastAsia="仿宋" w:cs="仿宋"/>
          <w:color w:val="auto"/>
          <w:kern w:val="0"/>
          <w:sz w:val="24"/>
          <w:szCs w:val="24"/>
          <w:highlight w:val="none"/>
          <w:shd w:val="clear" w:color="auto" w:fill="FFFFFF"/>
          <w:lang w:val="en-US" w:eastAsia="zh-CN" w:bidi="ar-SA"/>
        </w:rPr>
        <w:t>投标人</w:t>
      </w:r>
      <w:r>
        <w:rPr>
          <w:rFonts w:hint="eastAsia" w:ascii="仿宋" w:hAnsi="仿宋" w:eastAsia="仿宋" w:cs="仿宋"/>
          <w:color w:val="auto"/>
          <w:kern w:val="0"/>
          <w:sz w:val="24"/>
          <w:szCs w:val="24"/>
          <w:highlight w:val="none"/>
          <w:shd w:val="clear" w:color="auto" w:fill="FFFFFF"/>
          <w:lang w:val="en-US" w:eastAsia="zh-CN"/>
        </w:rPr>
        <w:t>应积极响应甲方提出的技术咨询并开展技术答疑，配合</w:t>
      </w:r>
      <w:r>
        <w:rPr>
          <w:rFonts w:hint="eastAsia" w:ascii="仿宋" w:hAnsi="仿宋" w:eastAsia="仿宋" w:cs="仿宋"/>
          <w:color w:val="auto"/>
          <w:kern w:val="0"/>
          <w:sz w:val="24"/>
          <w:szCs w:val="24"/>
          <w:highlight w:val="none"/>
          <w:shd w:val="clear" w:color="auto" w:fill="FFFFFF"/>
          <w:lang w:val="en-US" w:eastAsia="zh-CN" w:bidi="ar-SA"/>
        </w:rPr>
        <w:t>招标人</w:t>
      </w:r>
      <w:r>
        <w:rPr>
          <w:rFonts w:hint="eastAsia" w:ascii="仿宋" w:hAnsi="仿宋" w:eastAsia="仿宋" w:cs="仿宋"/>
          <w:color w:val="auto"/>
          <w:kern w:val="0"/>
          <w:sz w:val="24"/>
          <w:szCs w:val="24"/>
          <w:highlight w:val="none"/>
          <w:shd w:val="clear" w:color="auto" w:fill="FFFFFF"/>
          <w:lang w:val="en-US" w:eastAsia="zh-CN"/>
        </w:rPr>
        <w:t>开展各类技术升级改造。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5.投标人应积极响应招标人提出的培训要求，对招标人登机桥维护人员和操作人员提供必要的培训。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6.投标人应积极配合招标人开展各类涉及旅客登机桥的应急演练、应急救援和重大活动保障。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（四）零配件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lang w:val="en-US" w:eastAsia="zh-CN" w:bidi="ar-SA"/>
        </w:rPr>
        <w:t>投标人依据“第二章综评分法中基准价计算方法”对《附件3：旅客登机桥零配件清单》中列明的零配件逐项进行报价，若投标人单项报价高于基准价，将以基准价作为本项备案价；若投标人单项报价低于基准价，将以投标人单项报价作为本项备案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2.在合同履行过程中，招标人向投标人采购零配件，价格依据合同</w:t>
      </w:r>
      <w:r>
        <w:rPr>
          <w:rFonts w:hint="eastAsia" w:ascii="仿宋" w:hAnsi="仿宋" w:eastAsia="仿宋" w:cs="仿宋"/>
          <w:color w:val="auto"/>
          <w:kern w:val="0"/>
          <w:sz w:val="24"/>
          <w:szCs w:val="24"/>
          <w:highlight w:val="none"/>
          <w:shd w:val="clear" w:color="auto" w:fill="FFFFFF"/>
          <w:lang w:val="en-US" w:eastAsia="zh-CN" w:bidi="ar-SA"/>
        </w:rPr>
        <w:t>《附件3：旅客登机桥零配件清单》</w:t>
      </w:r>
      <w:r>
        <w:rPr>
          <w:rFonts w:hint="eastAsia" w:ascii="仿宋" w:hAnsi="仿宋" w:eastAsia="仿宋" w:cs="仿宋"/>
          <w:color w:val="auto"/>
          <w:kern w:val="0"/>
          <w:sz w:val="24"/>
          <w:szCs w:val="24"/>
          <w:highlight w:val="none"/>
          <w:shd w:val="clear" w:color="auto" w:fill="FFFFFF"/>
          <w:lang w:val="en-US" w:eastAsia="zh-CN"/>
        </w:rPr>
        <w:t>中列明的备案价确定，并由投标人负责更换、调试工作，所有向投标人采购的零配件自更换验收合格之日起由投标人提供不少于12个月的免费质保，所采购的零配件必须为原厂原装配件，严禁以次充好，严禁使用二手件、返修件、仿制件。合同期内由投标人免费承担总价不超过维保费总额5%的零配件费用，超过部分的费用由招标人据实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3.投标人自备维保工作中所需的工具、机具、劳动防护用品、公共卫生防疫用品、油漆、除锈剂、液压油、润滑脂、防水胶并承担相应费用。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rPr>
        <w:t>4.投标人应根据招标人要求在南通机场设立常用正品备件和易损品备份库《附件4：旅客登机桥备品备件清单》，以备急需之用，若出现不可预见性故障，应保证备件及时更换以确保在最短时间内恢复运行。当备件被使用后，15日内将备份库补齐至初始要求数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（五）执行标准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《旅客登机桥》（</w:t>
      </w:r>
      <w:r>
        <w:rPr>
          <w:rFonts w:hint="default" w:ascii="仿宋" w:hAnsi="仿宋" w:eastAsia="仿宋" w:cs="仿宋"/>
          <w:color w:val="auto"/>
          <w:kern w:val="0"/>
          <w:sz w:val="24"/>
          <w:szCs w:val="24"/>
          <w:highlight w:val="none"/>
          <w:shd w:val="clear" w:color="auto" w:fill="FFFFFF"/>
          <w:lang w:val="en-US" w:eastAsia="zh-CN"/>
        </w:rPr>
        <w:t>MH/T</w:t>
      </w:r>
      <w:r>
        <w:rPr>
          <w:rFonts w:hint="eastAsia" w:ascii="仿宋" w:hAnsi="仿宋" w:eastAsia="仿宋" w:cs="仿宋"/>
          <w:color w:val="auto"/>
          <w:kern w:val="0"/>
          <w:sz w:val="24"/>
          <w:szCs w:val="24"/>
          <w:highlight w:val="none"/>
          <w:shd w:val="clear" w:color="auto" w:fill="FFFFFF"/>
          <w:lang w:val="en-US" w:eastAsia="zh-CN"/>
        </w:rPr>
        <w:t>6028—2016）、《旅客登机桥操作维护手册》（中集天达项目号7588版本）、招标人内部管理要求及投标人内部维保规范等。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（六）安全要求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严格遵守国家法律法规、行业安全标准、招标人的安全管理规章制度、投标人的内部安全管理要求，全面履行《附件6：安全生产协议》各项安全管理职责，服从招标人的安全管理。在开展可能影响机场正常运行、安全生产、服务质量的重大维修前，乙方须向甲方提交工作方案，经甲方确认后方可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（七）服务质量考核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招标人按招标文件要求和投标承诺，依据《附件5：旅客登机桥维保考核表》对投标人进行考核。考核结果作为服务费结算、合同履行依据，招标人有权根据运行实际对考核方案进行修订、更新。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三、商务要求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1、合同期限：合同期限3年,采用1+1+1模式。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1.1.考评：合同期内分三阶段（每阶段服务期为12个月）考评，每阶段服务期满后，根据投标人当期的服务质量，经招标人考评合格，双方方可继续履行合同，否则招标人有权无责解除合同（每个考评阶段，投标人季度考核分低于80分的次数达到2次或者4个季度考核平均分低于80分视为本阶段考评不合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1.2.试用期：合同签订后的第一个季度为试用期，试用期内招标人按《附件5：旅客登机桥维保考核表》对投标人进行考核，累计扣罚的分值到达20分以上，招标人可单方面无责取消维保合同，所有损失由成交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2、服务地点：南通兴东国际机场。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3、质保期限：对于所更换的零配件承诺提供至少12个月的质保期限，自更换验收合格之日起算。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4、验收标准：按照国家规定、双方签订的合同、招标文件以及响应文件的相关内容进行现场验收。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5、验收方案：双方现场共同验收。招标人有权聘请第三方检验机构对旅客登机桥的运行状况进行检验。如存在因投标人原因导致的旅客登机桥故障或损坏，由投标人自行承担所有费用，包括且不限于维修费用、第三方检测费用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Style w:val="15"/>
          <w:rFonts w:hint="eastAsia"/>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SA"/>
        </w:rPr>
        <w:t>6、结算方式：招标人每季度末依据《旅客登机桥维保服务考核表》对投标人上季度维保工作质量开展考核，每扣1分对应扣罚人民币100元。招标人依据季度考核表和零配件使用记录计算需支付的季度固定维保费用和零配件费用（每季度固定维保费金额为每年固定维保费的25%）后通知投标人开具增值税专用发票，投标人按照合同4.2要求提供申请付款资料提交甲方审核后由甲方支付维保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7、履约保证金：投标人向招标人交纳中标金额的10%，作为履约保证金。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8、招标人位于T2航站楼的2座电液混合式登机桥目前停用，后续启用期间的维保标准和维保价格按照型号为</w:t>
      </w:r>
      <w:r>
        <w:rPr>
          <w:rFonts w:hint="default" w:ascii="仿宋" w:hAnsi="仿宋" w:eastAsia="仿宋" w:cs="仿宋"/>
          <w:color w:val="auto"/>
          <w:kern w:val="0"/>
          <w:sz w:val="24"/>
          <w:szCs w:val="24"/>
          <w:highlight w:val="none"/>
          <w:shd w:val="clear" w:color="auto" w:fill="FFFFFF"/>
          <w:lang w:val="en-US" w:eastAsia="zh-CN" w:bidi="ar-SA"/>
        </w:rPr>
        <w:t>TDLSYDB229.8/19.0P</w:t>
      </w:r>
      <w:r>
        <w:rPr>
          <w:rFonts w:hint="eastAsia" w:ascii="仿宋" w:hAnsi="仿宋" w:eastAsia="仿宋" w:cs="仿宋"/>
          <w:color w:val="auto"/>
          <w:kern w:val="0"/>
          <w:sz w:val="24"/>
          <w:szCs w:val="24"/>
          <w:highlight w:val="none"/>
          <w:shd w:val="clear" w:color="auto" w:fill="FFFFFF"/>
          <w:lang w:val="en-US" w:eastAsia="zh-CN" w:bidi="ar-SA"/>
        </w:rPr>
        <w:t>登机桥保养相关条款执行。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auto"/>
          <w:kern w:val="0"/>
          <w:sz w:val="24"/>
          <w:szCs w:val="24"/>
          <w:highlight w:val="none"/>
          <w:shd w:val="clear" w:color="auto" w:fill="FFFFFF"/>
          <w:lang w:val="en-US" w:eastAsia="zh-CN" w:bidi="ar-SA"/>
        </w:rPr>
      </w:pPr>
      <w:r>
        <w:rPr>
          <w:rFonts w:hint="eastAsia" w:ascii="黑体" w:hAnsi="黑体" w:eastAsia="黑体" w:cs="黑体"/>
          <w:color w:val="auto"/>
          <w:kern w:val="0"/>
          <w:sz w:val="24"/>
          <w:szCs w:val="24"/>
          <w:highlight w:val="none"/>
          <w:shd w:val="clear" w:color="auto" w:fill="FFFFFF"/>
          <w:lang w:val="en-US" w:eastAsia="zh-CN" w:bidi="ar-SA"/>
        </w:rPr>
        <w:t>四、附件清单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1、附件1：《旅客登机桥设备清单》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2、附件2：《旅客登机桥维保服务要求》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3、附件3：《旅客登机桥零配件清单》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SA"/>
        </w:rPr>
        <w:t>4、附件4：《旅客登机桥备品备件清单》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5、附件5：《旅客登机桥维保考核表》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FF0000"/>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6、附件6：《安全生产协议》</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投标文件格式</w:t>
      </w:r>
    </w:p>
    <w:p>
      <w:pPr>
        <w:pStyle w:val="40"/>
        <w:jc w:val="left"/>
        <w:outlineLvl w:val="9"/>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系（投标人名称）的法定代表人。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投标人：（公章）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rPr>
          <w:rFonts w:ascii="宋体"/>
          <w:b/>
          <w:bCs/>
          <w:szCs w:val="21"/>
          <w:highlight w:val="none"/>
        </w:rPr>
      </w:pPr>
      <w:r>
        <w:rPr>
          <w:rFonts w:ascii="宋体"/>
          <w:b/>
          <w:bCs/>
          <w:szCs w:val="21"/>
          <w:highlight w:val="none"/>
        </w:rPr>
        <w:br w:type="page"/>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8"/>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机场集团有限公司的XXXX项目采购活动。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固定维保费</w:t>
      </w:r>
      <w:r>
        <w:rPr>
          <w:rFonts w:hint="eastAsia" w:ascii="宋体" w:hAnsi="宋体" w:eastAsia="宋体" w:cs="宋体"/>
          <w:b/>
          <w:sz w:val="36"/>
          <w:szCs w:val="36"/>
          <w:highlight w:val="none"/>
        </w:rPr>
        <w:t>报价单</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562"/>
        <w:gridCol w:w="5082"/>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2"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2562"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登机桥型号</w:t>
            </w:r>
          </w:p>
        </w:tc>
        <w:tc>
          <w:tcPr>
            <w:tcW w:w="5082"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每年固定维保费（不含税）</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41.3/24.5P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2</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42.8/25.2P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31.3/19.7P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4</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5</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6</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27.3/18.0P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7</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28.3/18.2P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8</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28.3/18.2P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9</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10</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11</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36.8/22.2P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294" w:type="dxa"/>
            <w:gridSpan w:val="2"/>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税率：（）</w:t>
            </w:r>
            <w:r>
              <w:rPr>
                <w:rFonts w:hint="eastAsia" w:ascii="仿宋" w:hAnsi="仿宋" w:eastAsia="仿宋" w:cs="仿宋"/>
                <w:spacing w:val="20"/>
                <w:szCs w:val="21"/>
                <w:highlight w:val="none"/>
                <w:lang w:val="en-US" w:eastAsia="zh-CN"/>
              </w:rPr>
              <w:t>%</w:t>
            </w:r>
            <w:r>
              <w:rPr>
                <w:rFonts w:ascii="仿宋" w:hAnsi="仿宋" w:eastAsia="仿宋" w:cs="仿宋"/>
                <w:spacing w:val="20"/>
                <w:szCs w:val="21"/>
                <w:highlight w:val="none"/>
                <w:u w:val="single"/>
              </w:rPr>
              <w:t xml:space="preserve">                             </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294" w:type="dxa"/>
            <w:gridSpan w:val="2"/>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w:t>
            </w:r>
            <w:r>
              <w:rPr>
                <w:rFonts w:hint="eastAsia" w:ascii="仿宋" w:hAnsi="仿宋" w:eastAsia="仿宋" w:cs="仿宋"/>
                <w:spacing w:val="20"/>
                <w:szCs w:val="21"/>
                <w:highlight w:val="none"/>
                <w:lang w:eastAsia="zh-CN"/>
              </w:rPr>
              <w:t>（</w:t>
            </w:r>
            <w:r>
              <w:rPr>
                <w:rFonts w:hint="eastAsia" w:ascii="仿宋" w:hAnsi="仿宋" w:eastAsia="仿宋" w:cs="仿宋"/>
                <w:spacing w:val="20"/>
                <w:szCs w:val="21"/>
                <w:highlight w:val="none"/>
              </w:rPr>
              <w:t>大写</w:t>
            </w:r>
            <w:r>
              <w:rPr>
                <w:rFonts w:hint="eastAsia" w:ascii="仿宋" w:hAnsi="仿宋" w:eastAsia="仿宋" w:cs="仿宋"/>
                <w:spacing w:val="20"/>
                <w:szCs w:val="21"/>
                <w:highlight w:val="none"/>
                <w:lang w:eastAsia="zh-CN"/>
              </w:rPr>
              <w:t>）：</w:t>
            </w:r>
          </w:p>
        </w:tc>
        <w:tc>
          <w:tcPr>
            <w:tcW w:w="5082" w:type="dxa"/>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294" w:type="dxa"/>
            <w:gridSpan w:val="2"/>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5082" w:type="dxa"/>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零配件</w:t>
      </w:r>
      <w:r>
        <w:rPr>
          <w:rFonts w:hint="eastAsia" w:ascii="宋体" w:hAnsi="宋体" w:eastAsia="宋体" w:cs="宋体"/>
          <w:b/>
          <w:sz w:val="36"/>
          <w:szCs w:val="36"/>
          <w:highlight w:val="none"/>
        </w:rPr>
        <w:t>报价单</w:t>
      </w:r>
    </w:p>
    <w:tbl>
      <w:tblPr>
        <w:tblStyle w:val="12"/>
        <w:tblW w:w="4996"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1"/>
        <w:gridCol w:w="2734"/>
        <w:gridCol w:w="1956"/>
        <w:gridCol w:w="1689"/>
        <w:gridCol w:w="1579"/>
        <w:gridCol w:w="7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51"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486"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零配件名称</w:t>
            </w:r>
          </w:p>
        </w:tc>
        <w:tc>
          <w:tcPr>
            <w:tcW w:w="1067"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型号</w:t>
            </w:r>
          </w:p>
        </w:tc>
        <w:tc>
          <w:tcPr>
            <w:tcW w:w="922"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品牌</w:t>
            </w:r>
          </w:p>
        </w:tc>
        <w:tc>
          <w:tcPr>
            <w:tcW w:w="864"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408"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2</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727" w:type="pct"/>
            <w:gridSpan w:val="4"/>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r>
              <w:rPr>
                <w:rFonts w:hint="eastAsia" w:ascii="仿宋" w:hAnsi="仿宋" w:eastAsia="仿宋" w:cs="仿宋"/>
                <w:spacing w:val="20"/>
                <w:szCs w:val="21"/>
                <w:highlight w:val="none"/>
                <w:lang w:eastAsia="zh-CN"/>
              </w:rPr>
              <w:t>税率：（）</w:t>
            </w:r>
            <w:r>
              <w:rPr>
                <w:rFonts w:hint="eastAsia" w:ascii="仿宋" w:hAnsi="仿宋" w:eastAsia="仿宋" w:cs="仿宋"/>
                <w:spacing w:val="20"/>
                <w:szCs w:val="21"/>
                <w:highlight w:val="none"/>
                <w:lang w:val="en-US" w:eastAsia="zh-CN"/>
              </w:rPr>
              <w:t>%</w:t>
            </w:r>
            <w:r>
              <w:rPr>
                <w:rFonts w:ascii="仿宋" w:hAnsi="仿宋" w:eastAsia="仿宋" w:cs="仿宋"/>
                <w:spacing w:val="20"/>
                <w:szCs w:val="21"/>
                <w:highlight w:val="none"/>
                <w:u w:val="single"/>
              </w:rPr>
              <w:t xml:space="preserve">                             </w:t>
            </w: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727" w:type="pct"/>
            <w:gridSpan w:val="4"/>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spacing w:val="20"/>
                <w:szCs w:val="21"/>
                <w:highlight w:val="none"/>
                <w:u w:val="none"/>
                <w:lang w:val="en-US" w:eastAsia="zh-CN"/>
              </w:rPr>
              <w:t>不含税总价</w:t>
            </w:r>
            <w:r>
              <w:rPr>
                <w:rFonts w:hint="eastAsia" w:ascii="仿宋" w:hAnsi="仿宋" w:eastAsia="仿宋" w:cs="仿宋"/>
                <w:spacing w:val="20"/>
                <w:szCs w:val="21"/>
                <w:highlight w:val="none"/>
                <w:lang w:eastAsia="zh-CN"/>
              </w:rPr>
              <w:t>（</w:t>
            </w:r>
            <w:r>
              <w:rPr>
                <w:rFonts w:hint="eastAsia" w:ascii="仿宋" w:hAnsi="仿宋" w:eastAsia="仿宋" w:cs="仿宋"/>
                <w:spacing w:val="20"/>
                <w:szCs w:val="21"/>
                <w:highlight w:val="none"/>
              </w:rPr>
              <w:t>大写</w:t>
            </w:r>
            <w:r>
              <w:rPr>
                <w:rFonts w:hint="eastAsia" w:ascii="仿宋" w:hAnsi="仿宋" w:eastAsia="仿宋" w:cs="仿宋"/>
                <w:spacing w:val="20"/>
                <w:szCs w:val="21"/>
                <w:highlight w:val="none"/>
                <w:lang w:eastAsia="zh-CN"/>
              </w:rPr>
              <w:t>）：</w:t>
            </w:r>
          </w:p>
        </w:tc>
        <w:tc>
          <w:tcPr>
            <w:tcW w:w="864" w:type="pct"/>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727" w:type="pct"/>
            <w:gridSpan w:val="4"/>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spacing w:val="20"/>
                <w:szCs w:val="21"/>
                <w:highlight w:val="none"/>
                <w:lang w:eastAsia="zh-CN"/>
              </w:rPr>
              <w:t>含税总价（大写）：</w:t>
            </w:r>
          </w:p>
        </w:tc>
        <w:tc>
          <w:tcPr>
            <w:tcW w:w="864" w:type="pct"/>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7"/>
        <w:rPr>
          <w:rFonts w:hint="eastAsia"/>
          <w:highlight w:val="none"/>
        </w:rPr>
      </w:pPr>
    </w:p>
    <w:p>
      <w:pPr>
        <w:rPr>
          <w:highlight w:val="none"/>
        </w:rPr>
      </w:pPr>
      <w:r>
        <w:rPr>
          <w:highlight w:val="none"/>
        </w:rPr>
        <w:br w:type="page"/>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hAnsi="宋体" w:eastAsia="宋体" w:cs="宋体"/>
          <w:sz w:val="21"/>
          <w:szCs w:val="21"/>
          <w:highlight w:val="none"/>
          <w:u w:val="single"/>
          <w:lang w:eastAsia="zh-CN"/>
        </w:rPr>
        <w:t>南通</w:t>
      </w:r>
      <w:r>
        <w:rPr>
          <w:rFonts w:hint="eastAsia" w:hAnsi="宋体" w:eastAsia="宋体" w:cs="宋体"/>
          <w:sz w:val="21"/>
          <w:szCs w:val="21"/>
          <w:highlight w:val="none"/>
          <w:u w:val="single"/>
          <w:lang w:val="en-US" w:eastAsia="zh-CN"/>
        </w:rPr>
        <w:t>机场集团</w:t>
      </w:r>
      <w:r>
        <w:rPr>
          <w:rFonts w:hint="eastAsia" w:hAnsi="宋体" w:eastAsia="宋体" w:cs="宋体"/>
          <w:sz w:val="21"/>
          <w:szCs w:val="21"/>
          <w:highlight w:val="none"/>
          <w:u w:val="single"/>
          <w:lang w:eastAsia="zh-CN"/>
        </w:rPr>
        <w:t>有限公司</w:t>
      </w:r>
      <w:r>
        <w:rPr>
          <w:rFonts w:hint="eastAsia" w:ascii="宋体" w:hAnsi="宋体" w:eastAsia="宋体" w:cs="宋体"/>
          <w:sz w:val="21"/>
          <w:szCs w:val="21"/>
          <w:highlight w:val="none"/>
        </w:rPr>
        <w:t>：</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cs="宋体"/>
          <w:sz w:val="21"/>
          <w:szCs w:val="21"/>
          <w:highlight w:val="none"/>
          <w:lang w:eastAsia="zh-CN"/>
        </w:rPr>
        <w:t>根据</w:t>
      </w:r>
      <w:r>
        <w:rPr>
          <w:rFonts w:hint="eastAsia" w:ascii="宋体" w:hAnsi="宋体" w:eastAsia="宋体" w:cs="宋体"/>
          <w:sz w:val="21"/>
          <w:szCs w:val="21"/>
          <w:highlight w:val="none"/>
        </w:rPr>
        <w:t>贵方</w:t>
      </w:r>
      <w:r>
        <w:rPr>
          <w:rFonts w:hint="eastAsia" w:ascii="宋体" w:hAnsi="宋体" w:eastAsia="宋体" w:cs="宋体"/>
          <w:sz w:val="21"/>
          <w:szCs w:val="21"/>
          <w:highlight w:val="non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lang w:eastAsia="zh-CN"/>
        </w:rPr>
        <w:t>XXXX-XX-20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（投标人名称、地址）</w:t>
      </w:r>
      <w:r>
        <w:rPr>
          <w:rFonts w:hint="eastAsia" w:ascii="宋体" w:hAnsi="宋体" w:eastAsia="宋体" w:cs="宋体"/>
          <w:sz w:val="21"/>
          <w:szCs w:val="21"/>
          <w:highlight w:val="none"/>
        </w:rPr>
        <w:t>提交投标文件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（包括招标文件要求提供的全部资料）；</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8"/>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投标总价为</w:t>
      </w:r>
      <w:r>
        <w:rPr>
          <w:rFonts w:hint="eastAsia" w:ascii="宋体" w:hAnsi="宋体" w:eastAsia="宋体" w:cs="宋体"/>
          <w:sz w:val="21"/>
          <w:szCs w:val="21"/>
          <w:highlight w:val="none"/>
          <w:u w:val="single"/>
        </w:rPr>
        <w:t>（注明币种，并用文字和数字表示的投标总价）。</w:t>
      </w:r>
    </w:p>
    <w:p>
      <w:pPr>
        <w:pStyle w:val="8"/>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2．我方已详细审查全部招标文件，包括有关澄清和补充说明（如果有的话）。我们完全理解并同意放弃对这方面有不明及误解的权力。</w:t>
      </w:r>
    </w:p>
    <w:p>
      <w:pPr>
        <w:pStyle w:val="8"/>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3．本投标文件有效期为自开标日起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个日历日。在这期间，本投标文件将始终对我方具有约束力，并可随时被接受。本次招标文件和本投标文件（含承诺书）将作为买卖合同的附件。</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4．如果在规定的开标时间后，我方在投标有效期内撤回投标，其投标保证金将被贵方没收。</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5．我方愿意向招标人提供任何与本次招标相关的其他资料。</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6．我方将严格履行本投标文件中的全部承诺和责任，并遵守招标文件中对投标人的所有规定。</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7．如果我方中标，将派出（姓名）作为本项目的项目负责人（或项目经理）。</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8．如果我方中标，我们将在合同签订生效后按合同约定施工。并将按招标文件的规定履行合同责任和义务。</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10．如果我们中标，我们将按招标文件的规定支付中标的有关服务费。</w:t>
      </w:r>
    </w:p>
    <w:p>
      <w:pPr>
        <w:pStyle w:val="8"/>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投标人名称：(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hAnsi="宋体" w:eastAsia="宋体" w:cs="宋体"/>
          <w:sz w:val="21"/>
          <w:szCs w:val="21"/>
          <w:highlight w:val="non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rPr>
          <w:rFonts w:hint="eastAsia" w:hAnsi="宋体" w:eastAsia="宋体" w:cs="宋体"/>
          <w:sz w:val="21"/>
          <w:szCs w:val="21"/>
          <w:highlight w:val="none"/>
          <w:lang w:eastAsia="zh-CN"/>
        </w:rPr>
      </w:pPr>
      <w:r>
        <w:rPr>
          <w:rFonts w:hint="eastAsia" w:hAnsi="宋体" w:eastAsia="宋体" w:cs="宋体"/>
          <w:sz w:val="21"/>
          <w:szCs w:val="21"/>
          <w:highlight w:val="none"/>
          <w:lang w:eastAsia="zh-CN"/>
        </w:rPr>
        <w:br w:type="page"/>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投标人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 xml:space="preserve">致： </w:t>
      </w:r>
      <w:r>
        <w:rPr>
          <w:rFonts w:hint="eastAsia" w:ascii="宋体" w:hAnsi="宋体" w:eastAsia="宋体" w:cs="宋体"/>
          <w:color w:val="000000"/>
          <w:kern w:val="0"/>
          <w:szCs w:val="21"/>
          <w:highlight w:val="none"/>
          <w:lang w:val="en-US" w:eastAsia="zh-CN"/>
        </w:rPr>
        <w:t>南通机场集团有限公司</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w:t>
      </w:r>
      <w:r>
        <w:rPr>
          <w:rFonts w:hint="eastAsia" w:ascii="宋体" w:hAnsi="宋体" w:eastAsia="宋体" w:cs="宋体"/>
          <w:sz w:val="21"/>
          <w:szCs w:val="21"/>
          <w:highlight w:val="none"/>
          <w:lang w:eastAsia="zh-CN"/>
        </w:rPr>
        <w:t>加贵单位</w:t>
      </w:r>
      <w:r>
        <w:rPr>
          <w:rFonts w:hint="eastAsia" w:ascii="宋体" w:hAnsi="宋体" w:eastAsia="宋体" w:cs="宋体"/>
          <w:sz w:val="21"/>
          <w:szCs w:val="21"/>
          <w:highlight w:val="none"/>
          <w:u w:val="single"/>
          <w:lang w:val="en-US" w:eastAsia="zh-CN"/>
        </w:rPr>
        <w:t>XXXX</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w:t>
      </w:r>
      <w:r>
        <w:rPr>
          <w:rFonts w:hint="eastAsia" w:hAnsi="宋体" w:eastAsia="宋体" w:cs="宋体"/>
          <w:sz w:val="21"/>
          <w:szCs w:val="21"/>
          <w:highlight w:val="none"/>
          <w:lang w:val="en-US" w:eastAsia="zh-CN"/>
        </w:rPr>
        <w:t>南通机场集团有限公司</w:t>
      </w:r>
      <w:r>
        <w:rPr>
          <w:rFonts w:hint="eastAsia" w:ascii="宋体" w:hAnsi="宋体" w:eastAsia="宋体" w:cs="宋体"/>
          <w:sz w:val="21"/>
          <w:szCs w:val="21"/>
          <w:highlight w:val="none"/>
        </w:rPr>
        <w:t>）提出的资格审查合格条件标准和要求</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发现我公司有以上行为，贵公司可以拒绝我公司投标，如已中标，可取消我公司中标资格，并接受行政主管部门对我公司弄虚作假、违反公平和诚实信用原则做出的任何处理。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rPr>
          <w:highlight w:val="none"/>
        </w:rPr>
      </w:pPr>
      <w:r>
        <w:rPr>
          <w:highlight w:val="none"/>
        </w:rPr>
        <w:br w:type="page"/>
      </w:r>
    </w:p>
    <w:p>
      <w:pPr>
        <w:pStyle w:val="3"/>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jc w:val="center"/>
        <w:rPr>
          <w:rFonts w:ascii="宋体"/>
          <w:szCs w:val="21"/>
          <w:highlight w:val="none"/>
        </w:rPr>
      </w:pPr>
      <w:r>
        <w:rPr>
          <w:rFonts w:hint="eastAsia" w:ascii="宋体" w:hAnsi="宋体"/>
          <w:szCs w:val="21"/>
          <w:highlight w:val="none"/>
        </w:rPr>
        <w:t>（须与招标文件点对点应答）</w:t>
      </w:r>
    </w:p>
    <w:p>
      <w:pPr>
        <w:rPr>
          <w:rFonts w:ascii="宋体"/>
          <w:szCs w:val="21"/>
          <w:highlight w:val="none"/>
        </w:rPr>
      </w:pPr>
      <w:r>
        <w:rPr>
          <w:rFonts w:hint="eastAsia" w:ascii="宋体" w:hAnsi="宋体"/>
          <w:szCs w:val="21"/>
          <w:highlight w:val="none"/>
        </w:rPr>
        <w:t>招标文件编号：标段号（如果有的话）：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1" w:type="dxa"/>
            <w:noWrap w:val="0"/>
            <w:vAlign w:val="center"/>
          </w:tcPr>
          <w:p>
            <w:pPr>
              <w:jc w:val="center"/>
              <w:rPr>
                <w:rFonts w:ascii="宋体"/>
                <w:szCs w:val="21"/>
                <w:highlight w:val="none"/>
              </w:rPr>
            </w:pPr>
            <w:r>
              <w:rPr>
                <w:rFonts w:hint="eastAsia" w:ascii="宋体" w:hAnsi="宋体"/>
                <w:szCs w:val="21"/>
                <w:highlight w:val="none"/>
              </w:rPr>
              <w:t>货物名称</w:t>
            </w:r>
          </w:p>
        </w:tc>
        <w:tc>
          <w:tcPr>
            <w:tcW w:w="1756" w:type="dxa"/>
            <w:noWrap w:val="0"/>
            <w:vAlign w:val="center"/>
          </w:tcPr>
          <w:p>
            <w:pPr>
              <w:jc w:val="center"/>
              <w:rPr>
                <w:rFonts w:ascii="宋体"/>
                <w:szCs w:val="21"/>
                <w:highlight w:val="none"/>
              </w:rPr>
            </w:pPr>
            <w:r>
              <w:rPr>
                <w:rFonts w:hint="eastAsia" w:ascii="宋体" w:hAnsi="宋体"/>
                <w:szCs w:val="21"/>
                <w:highlight w:val="none"/>
              </w:rPr>
              <w:t>招标文件条目号</w:t>
            </w:r>
          </w:p>
        </w:tc>
        <w:tc>
          <w:tcPr>
            <w:tcW w:w="1890" w:type="dxa"/>
            <w:noWrap w:val="0"/>
            <w:vAlign w:val="center"/>
          </w:tcPr>
          <w:p>
            <w:pPr>
              <w:ind w:left="151" w:hanging="151" w:hangingChars="72"/>
              <w:jc w:val="center"/>
              <w:rPr>
                <w:rFonts w:ascii="宋体"/>
                <w:szCs w:val="21"/>
                <w:highlight w:val="none"/>
              </w:rPr>
            </w:pPr>
            <w:r>
              <w:rPr>
                <w:rFonts w:hint="eastAsia" w:ascii="宋体" w:hAnsi="宋体"/>
                <w:szCs w:val="21"/>
                <w:highlight w:val="none"/>
              </w:rPr>
              <w:t>招标技术规格</w:t>
            </w:r>
          </w:p>
        </w:tc>
        <w:tc>
          <w:tcPr>
            <w:tcW w:w="1935" w:type="dxa"/>
            <w:noWrap w:val="0"/>
            <w:vAlign w:val="center"/>
          </w:tcPr>
          <w:p>
            <w:pPr>
              <w:jc w:val="center"/>
              <w:rPr>
                <w:rFonts w:ascii="宋体"/>
                <w:szCs w:val="21"/>
                <w:highlight w:val="none"/>
              </w:rPr>
            </w:pPr>
            <w:r>
              <w:rPr>
                <w:rFonts w:hint="eastAsia" w:ascii="宋体" w:hAnsi="宋体"/>
                <w:szCs w:val="21"/>
                <w:highlight w:val="none"/>
              </w:rPr>
              <w:t>投标技术规格</w:t>
            </w:r>
          </w:p>
        </w:tc>
        <w:tc>
          <w:tcPr>
            <w:tcW w:w="1680"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rPr>
        <w:t>投标人（盖章）：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rPr>
          <w:rFonts w:hint="eastAsia" w:ascii="宋体" w:hAnsi="宋体" w:cs="宋体"/>
          <w:szCs w:val="21"/>
          <w:highlight w:val="none"/>
        </w:rPr>
      </w:pPr>
      <w:r>
        <w:rPr>
          <w:rFonts w:hint="eastAsia" w:ascii="宋体" w:hAnsi="宋体" w:cs="宋体"/>
          <w:szCs w:val="21"/>
          <w:highlight w:val="none"/>
        </w:rPr>
        <w:t>注：1、对本采购文件第三章项目需求的技术要求部分进行响应，如全部响应无偏离的，则提交加盖公章的空白表格；</w:t>
      </w:r>
    </w:p>
    <w:p>
      <w:pPr>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pPr>
        <w:rPr>
          <w:rFonts w:hint="eastAsia" w:ascii="宋体" w:hAnsi="宋体" w:cs="宋体"/>
          <w:b/>
          <w:szCs w:val="21"/>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商务条款偏离表</w:t>
      </w:r>
    </w:p>
    <w:p>
      <w:pPr>
        <w:pageBreakBefore w:val="0"/>
        <w:kinsoku/>
        <w:wordWrap/>
        <w:overflowPunct/>
        <w:topLinePunct w:val="0"/>
        <w:bidi w:val="0"/>
        <w:adjustRightInd/>
        <w:snapToGrid/>
        <w:ind w:left="0" w:leftChars="0" w:right="0" w:rightChars="0"/>
        <w:jc w:val="center"/>
        <w:rPr>
          <w:rFonts w:ascii="宋体"/>
          <w:highlight w:val="none"/>
        </w:rPr>
      </w:pPr>
    </w:p>
    <w:p>
      <w:pPr>
        <w:pageBreakBefore w:val="0"/>
        <w:kinsoku/>
        <w:wordWrap/>
        <w:overflowPunct/>
        <w:topLinePunct w:val="0"/>
        <w:bidi w:val="0"/>
        <w:adjustRightInd/>
        <w:snapToGrid/>
        <w:ind w:left="0" w:leftChars="0" w:right="0" w:rightChars="0" w:firstLine="119" w:firstLineChars="57"/>
        <w:rPr>
          <w:rFonts w:ascii="宋体"/>
          <w:szCs w:val="21"/>
          <w:highlight w:val="none"/>
        </w:rPr>
      </w:pPr>
      <w:r>
        <w:rPr>
          <w:rFonts w:hint="eastAsia" w:ascii="宋体" w:hAnsi="宋体"/>
          <w:szCs w:val="21"/>
          <w:highlight w:val="none"/>
        </w:rPr>
        <w:t>招标文件编号：标段号（如果有的话）：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44"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招标文件</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条目号</w:t>
            </w:r>
          </w:p>
        </w:tc>
        <w:tc>
          <w:tcPr>
            <w:tcW w:w="2739"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招标文件的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2835"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r>
    </w:tbl>
    <w:p>
      <w:pPr>
        <w:pageBreakBefore w:val="0"/>
        <w:kinsoku/>
        <w:wordWrap/>
        <w:overflowPunct/>
        <w:topLinePunct w:val="0"/>
        <w:bidi w:val="0"/>
        <w:adjustRightInd/>
        <w:snapToGrid/>
        <w:ind w:left="0" w:leftChars="0" w:right="0" w:rightChars="0"/>
        <w:rPr>
          <w:rFonts w:ascii="宋体"/>
          <w:szCs w:val="21"/>
          <w:highlight w:val="none"/>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投标人（盖章）：</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法定代表人或授权代表签字：</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日期：</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注：1、对本采购文件第三章项目需求的商务要求和第四章响应文件格式 附件</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采购合同等进行响应，如全部响应无偏离的，则提交加盖公章的空白表格；</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不符合上述要求，</w:t>
      </w:r>
      <w:r>
        <w:rPr>
          <w:rFonts w:hint="eastAsia" w:ascii="宋体" w:hAnsi="宋体" w:eastAsia="宋体" w:cs="宋体"/>
          <w:szCs w:val="21"/>
          <w:highlight w:val="none"/>
          <w:lang w:eastAsia="zh-CN"/>
        </w:rPr>
        <w:t>响应供应商</w:t>
      </w:r>
      <w:r>
        <w:rPr>
          <w:rFonts w:hint="eastAsia" w:ascii="宋体" w:hAnsi="宋体" w:eastAsia="宋体" w:cs="宋体"/>
          <w:szCs w:val="21"/>
          <w:highlight w:val="none"/>
        </w:rPr>
        <w:t>将承担其投标被拒绝的风险。</w:t>
      </w:r>
    </w:p>
    <w:p>
      <w:pPr>
        <w:pStyle w:val="3"/>
        <w:pageBreakBefore w:val="0"/>
        <w:kinsoku/>
        <w:overflowPunct/>
        <w:bidi w:val="0"/>
        <w:adjustRightInd/>
        <w:snapToGrid/>
        <w:spacing w:line="460" w:lineRule="exact"/>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合同格式</w:t>
      </w:r>
    </w:p>
    <w:p>
      <w:pPr>
        <w:pageBreakBefore w:val="0"/>
        <w:kinsoku/>
        <w:overflowPunct/>
        <w:bidi w:val="0"/>
        <w:adjustRightInd/>
        <w:snapToGrid/>
        <w:spacing w:line="460" w:lineRule="exact"/>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bCs w:val="0"/>
          <w:sz w:val="36"/>
          <w:szCs w:val="36"/>
          <w:highlight w:val="none"/>
          <w:lang w:eastAsia="zh-CN"/>
        </w:rPr>
        <w:t>服务</w:t>
      </w:r>
      <w:r>
        <w:rPr>
          <w:rFonts w:hint="eastAsia" w:ascii="仿宋" w:hAnsi="仿宋" w:eastAsia="仿宋" w:cs="仿宋"/>
          <w:b/>
          <w:bCs w:val="0"/>
          <w:sz w:val="36"/>
          <w:szCs w:val="36"/>
          <w:highlight w:val="none"/>
        </w:rPr>
        <w:t>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合同编号：</w:t>
      </w:r>
      <w:r>
        <w:rPr>
          <w:rFonts w:hint="eastAsia" w:ascii="仿宋" w:hAnsi="仿宋" w:eastAsia="仿宋" w:cs="仿宋"/>
          <w:color w:val="auto"/>
          <w:kern w:val="0"/>
          <w:sz w:val="24"/>
          <w:szCs w:val="24"/>
          <w:highlight w:val="none"/>
          <w:lang w:val="en-US" w:eastAsia="zh-CN"/>
        </w:rPr>
        <w:t>【同项目编号】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签订地点：兴东国际机场</w:t>
      </w:r>
    </w:p>
    <w:p>
      <w:pPr>
        <w:spacing w:line="240" w:lineRule="auto"/>
        <w:rPr>
          <w:rFonts w:hint="eastAsia" w:ascii="仿宋" w:hAnsi="仿宋" w:eastAsia="仿宋" w:cs="仿宋"/>
          <w:sz w:val="24"/>
          <w:szCs w:val="24"/>
          <w:highlight w:val="none"/>
          <w:lang w:eastAsia="zh-CN"/>
        </w:rPr>
      </w:pPr>
    </w:p>
    <w:p>
      <w:pPr>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甲方：</w:t>
      </w:r>
      <w:r>
        <w:rPr>
          <w:rFonts w:hint="eastAsia" w:ascii="仿宋" w:hAnsi="仿宋" w:eastAsia="仿宋" w:cs="仿宋"/>
          <w:kern w:val="0"/>
          <w:sz w:val="24"/>
          <w:szCs w:val="24"/>
          <w:highlight w:val="none"/>
          <w:lang w:val="en-US" w:eastAsia="zh-CN"/>
        </w:rPr>
        <w:t>【南通机场集团有限公司】</w:t>
      </w:r>
      <w:r>
        <w:rPr>
          <w:rFonts w:hint="eastAsia" w:ascii="仿宋" w:hAnsi="仿宋" w:eastAsia="仿宋" w:cs="仿宋"/>
          <w:kern w:val="0"/>
          <w:sz w:val="24"/>
          <w:szCs w:val="24"/>
          <w:highlight w:val="none"/>
          <w:lang w:eastAsia="zh-CN"/>
        </w:rPr>
        <w:t>（以下简称“甲方”</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地址：【</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】（以下简称“乙方”）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地址</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 】</w:t>
      </w:r>
    </w:p>
    <w:p>
      <w:pPr>
        <w:spacing w:line="240" w:lineRule="auto"/>
        <w:rPr>
          <w:rFonts w:hint="eastAsia" w:ascii="仿宋" w:hAnsi="仿宋" w:eastAsia="仿宋" w:cs="仿宋"/>
          <w:sz w:val="24"/>
          <w:szCs w:val="24"/>
          <w:highlight w:val="none"/>
          <w:lang w:eastAsia="zh-CN"/>
        </w:rPr>
      </w:pPr>
    </w:p>
    <w:p>
      <w:pPr>
        <w:spacing w:line="24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通过</w:t>
      </w:r>
      <w:r>
        <w:rPr>
          <w:rFonts w:hint="eastAsia" w:ascii="仿宋" w:hAnsi="仿宋" w:eastAsia="仿宋" w:cs="仿宋"/>
          <w:sz w:val="24"/>
          <w:szCs w:val="24"/>
          <w:highlight w:val="none"/>
          <w:u w:val="single"/>
          <w:lang w:val="en-US" w:eastAsia="zh-CN"/>
        </w:rPr>
        <w:t>【填写采购方式】</w:t>
      </w:r>
      <w:r>
        <w:rPr>
          <w:rFonts w:hint="eastAsia" w:ascii="仿宋" w:hAnsi="仿宋" w:eastAsia="仿宋" w:cs="仿宋"/>
          <w:sz w:val="24"/>
          <w:szCs w:val="24"/>
          <w:highlight w:val="none"/>
          <w:u w:val="none"/>
          <w:lang w:val="en-US" w:eastAsia="zh-CN"/>
        </w:rPr>
        <w:t>方式</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u w:val="single"/>
          <w:lang w:val="en-US" w:eastAsia="zh-CN"/>
        </w:rPr>
        <w:t>【南通兴东国际机场旅客登机桥维保服务项目】</w:t>
      </w:r>
      <w:r>
        <w:rPr>
          <w:rFonts w:hint="eastAsia" w:ascii="仿宋" w:hAnsi="仿宋" w:eastAsia="仿宋" w:cs="仿宋"/>
          <w:sz w:val="24"/>
          <w:szCs w:val="24"/>
          <w:highlight w:val="none"/>
          <w:lang w:val="en-US" w:eastAsia="zh-CN"/>
        </w:rPr>
        <w:t>进行采购，经评定，</w:t>
      </w:r>
      <w:r>
        <w:rPr>
          <w:rFonts w:hint="eastAsia" w:ascii="仿宋" w:hAnsi="仿宋" w:eastAsia="仿宋" w:cs="仿宋"/>
          <w:sz w:val="24"/>
          <w:szCs w:val="24"/>
          <w:highlight w:val="none"/>
        </w:rPr>
        <w:t>乙方为本次</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依</w:t>
      </w:r>
      <w:r>
        <w:rPr>
          <w:rFonts w:hint="eastAsia" w:ascii="仿宋" w:hAnsi="仿宋" w:eastAsia="仿宋" w:cs="仿宋"/>
          <w:sz w:val="24"/>
          <w:szCs w:val="24"/>
          <w:highlight w:val="none"/>
          <w:lang w:val="zh-CN"/>
        </w:rPr>
        <w:t>据《中华人民共和国民法典》等相关法律法规之规定以及</w:t>
      </w:r>
      <w:r>
        <w:rPr>
          <w:rFonts w:hint="eastAsia" w:ascii="仿宋" w:hAnsi="仿宋" w:eastAsia="仿宋" w:cs="仿宋"/>
          <w:sz w:val="24"/>
          <w:szCs w:val="24"/>
          <w:highlight w:val="none"/>
          <w:lang w:eastAsia="zh-CN"/>
        </w:rPr>
        <w:t>甲方的采购</w:t>
      </w:r>
      <w:r>
        <w:rPr>
          <w:rFonts w:hint="eastAsia" w:ascii="仿宋" w:hAnsi="仿宋" w:eastAsia="仿宋" w:cs="仿宋"/>
          <w:sz w:val="24"/>
          <w:szCs w:val="24"/>
          <w:highlight w:val="none"/>
        </w:rPr>
        <w:t>文件、乙方的响应文件</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内容</w:t>
      </w:r>
      <w:r>
        <w:rPr>
          <w:rFonts w:hint="eastAsia" w:ascii="仿宋" w:hAnsi="仿宋" w:eastAsia="仿宋" w:cs="仿宋"/>
          <w:sz w:val="24"/>
          <w:szCs w:val="24"/>
          <w:highlight w:val="none"/>
          <w:lang w:val="zh-CN"/>
        </w:rPr>
        <w:t>，按照平等、自愿、公平和诚实信用的原则，经</w:t>
      </w:r>
      <w:r>
        <w:rPr>
          <w:rFonts w:hint="eastAsia" w:ascii="仿宋" w:hAnsi="仿宋" w:eastAsia="仿宋" w:cs="仿宋"/>
          <w:sz w:val="24"/>
          <w:szCs w:val="24"/>
          <w:highlight w:val="none"/>
          <w:u w:val="none"/>
          <w:lang w:eastAsia="zh-CN"/>
        </w:rPr>
        <w:t>双方</w:t>
      </w:r>
      <w:r>
        <w:rPr>
          <w:rFonts w:hint="eastAsia" w:ascii="仿宋" w:hAnsi="仿宋" w:eastAsia="仿宋" w:cs="仿宋"/>
          <w:sz w:val="24"/>
          <w:szCs w:val="24"/>
          <w:highlight w:val="none"/>
          <w:lang w:val="zh-CN"/>
        </w:rPr>
        <w:t>协商一致，约定以下合同</w:t>
      </w:r>
      <w:r>
        <w:rPr>
          <w:rFonts w:hint="eastAsia" w:ascii="仿宋" w:hAnsi="仿宋" w:eastAsia="仿宋" w:cs="仿宋"/>
          <w:sz w:val="24"/>
          <w:szCs w:val="24"/>
          <w:highlight w:val="none"/>
        </w:rPr>
        <w:t>条款，以兹共同遵守、全面履行。</w:t>
      </w:r>
    </w:p>
    <w:p>
      <w:pPr>
        <w:spacing w:line="240" w:lineRule="auto"/>
        <w:rPr>
          <w:rFonts w:hint="eastAsia" w:ascii="仿宋" w:hAnsi="仿宋" w:eastAsia="仿宋" w:cs="仿宋"/>
          <w:sz w:val="24"/>
          <w:szCs w:val="24"/>
          <w:highlight w:val="none"/>
          <w:lang w:eastAsia="zh-CN"/>
        </w:rPr>
      </w:pPr>
    </w:p>
    <w:p>
      <w:pPr>
        <w:numPr>
          <w:ilvl w:val="0"/>
          <w:numId w:val="0"/>
        </w:numPr>
        <w:spacing w:line="240" w:lineRule="auto"/>
        <w:ind w:left="420" w:firstLine="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释义：【若有】</w:t>
      </w:r>
    </w:p>
    <w:p>
      <w:pPr>
        <w:spacing w:line="240" w:lineRule="auto"/>
        <w:rPr>
          <w:rFonts w:hint="eastAsia" w:ascii="仿宋" w:hAnsi="仿宋" w:eastAsia="仿宋" w:cs="仿宋"/>
          <w:sz w:val="24"/>
          <w:szCs w:val="24"/>
          <w:highlight w:val="none"/>
          <w:lang w:eastAsia="zh-CN"/>
        </w:rPr>
      </w:pP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服务项目</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项目名称：【南通兴东国际机场旅客登机桥维保服务项目】</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服务周期：【】</w:t>
      </w: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服务范围及质量要求</w:t>
      </w:r>
    </w:p>
    <w:p>
      <w:pPr>
        <w:numPr>
          <w:ilvl w:val="1"/>
          <w:numId w:val="2"/>
        </w:numPr>
        <w:spacing w:line="240" w:lineRule="auto"/>
        <w:ind w:left="0" w:firstLine="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服务范围：</w:t>
      </w:r>
    </w:p>
    <w:p>
      <w:pPr>
        <w:numPr>
          <w:ilvl w:val="1"/>
          <w:numId w:val="2"/>
        </w:numPr>
        <w:spacing w:line="240" w:lineRule="auto"/>
        <w:ind w:left="0" w:firstLine="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服务质量要求：</w:t>
      </w:r>
    </w:p>
    <w:p>
      <w:pPr>
        <w:numPr>
          <w:ilvl w:val="1"/>
          <w:numId w:val="2"/>
        </w:numPr>
        <w:spacing w:line="240" w:lineRule="auto"/>
        <w:ind w:left="0" w:firstLine="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服务成果：</w:t>
      </w:r>
    </w:p>
    <w:p>
      <w:pPr>
        <w:numPr>
          <w:ilvl w:val="1"/>
          <w:numId w:val="2"/>
        </w:numPr>
        <w:spacing w:line="240" w:lineRule="auto"/>
        <w:ind w:left="0" w:firstLine="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sz w:val="24"/>
          <w:szCs w:val="24"/>
          <w:highlight w:val="none"/>
          <w:lang w:eastAsia="zh-CN"/>
        </w:rPr>
        <w:t>服务成果提交形式：</w:t>
      </w:r>
      <w:r>
        <w:rPr>
          <w:rFonts w:hint="eastAsia" w:ascii="仿宋" w:hAnsi="仿宋" w:eastAsia="仿宋" w:cs="仿宋"/>
          <w:b w:val="0"/>
          <w:bCs w:val="0"/>
          <w:color w:val="auto"/>
          <w:sz w:val="24"/>
          <w:szCs w:val="24"/>
          <w:highlight w:val="none"/>
          <w:lang w:val="en-US" w:eastAsia="zh-CN"/>
        </w:rPr>
        <w:t>乙方根据维保服务要求完成维保工作，并</w:t>
      </w:r>
      <w:r>
        <w:rPr>
          <w:rFonts w:hint="eastAsia" w:ascii="仿宋" w:hAnsi="仿宋" w:eastAsia="仿宋" w:cs="仿宋"/>
          <w:color w:val="auto"/>
          <w:sz w:val="24"/>
          <w:szCs w:val="24"/>
          <w:highlight w:val="none"/>
          <w:lang w:val="en-US" w:eastAsia="zh-CN"/>
        </w:rPr>
        <w:t>做好详细的检查、保养、维修记录，保存作业过程影像资料，每季度出具维保总结报告，提交甲方确认。甲方将依据《附件6：旅客登机桥维保服务考核实施方案》对乙方服务质量进行监督考评，考评结果作为服务费结算、合同履行的依据。</w:t>
      </w:r>
    </w:p>
    <w:p>
      <w:pPr>
        <w:numPr>
          <w:ilvl w:val="0"/>
          <w:numId w:val="2"/>
        </w:numPr>
        <w:spacing w:line="240" w:lineRule="auto"/>
        <w:ind w:left="425" w:hanging="42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服务价款</w:t>
      </w:r>
    </w:p>
    <w:p>
      <w:pPr>
        <w:numPr>
          <w:ilvl w:val="1"/>
          <w:numId w:val="2"/>
        </w:numPr>
        <w:spacing w:line="240" w:lineRule="auto"/>
        <w:ind w:lef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合同价款：总价【】</w:t>
      </w:r>
    </w:p>
    <w:p>
      <w:pPr>
        <w:numPr>
          <w:ilvl w:val="0"/>
          <w:numId w:val="0"/>
        </w:numPr>
        <w:spacing w:line="240" w:lineRule="auto"/>
        <w:ind w:lef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（明细价格表）</w:t>
      </w:r>
    </w:p>
    <w:p>
      <w:pPr>
        <w:keepNext w:val="0"/>
        <w:keepLines w:val="0"/>
        <w:pageBreakBefore w:val="0"/>
        <w:numPr>
          <w:ilvl w:val="2"/>
          <w:numId w:val="2"/>
        </w:numPr>
        <w:tabs>
          <w:tab w:val="left" w:pos="540"/>
        </w:tabs>
        <w:kinsoku/>
        <w:wordWrap/>
        <w:overflowPunct/>
        <w:topLinePunct w:val="0"/>
        <w:autoSpaceDE/>
        <w:autoSpaceDN/>
        <w:bidi w:val="0"/>
        <w:adjustRightInd/>
        <w:snapToGrid/>
        <w:spacing w:line="240" w:lineRule="auto"/>
        <w:ind w:left="480" w:leftChars="0" w:right="0" w:rightChars="0" w:hanging="480" w:hanging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本合同价格包括上述标的物，一次性报定，</w:t>
      </w:r>
      <w:r>
        <w:rPr>
          <w:rFonts w:hint="eastAsia" w:ascii="仿宋" w:hAnsi="仿宋" w:eastAsia="仿宋" w:cs="仿宋"/>
          <w:color w:val="auto"/>
          <w:sz w:val="24"/>
          <w:szCs w:val="24"/>
          <w:highlight w:val="none"/>
          <w:lang w:val="zh-CN"/>
        </w:rPr>
        <w:t>包括但不限于</w:t>
      </w:r>
      <w:r>
        <w:rPr>
          <w:rFonts w:hint="eastAsia" w:ascii="仿宋" w:hAnsi="仿宋" w:eastAsia="仿宋" w:cs="仿宋"/>
          <w:color w:val="auto"/>
          <w:sz w:val="24"/>
          <w:szCs w:val="24"/>
          <w:highlight w:val="none"/>
          <w:lang w:val="en-US" w:eastAsia="zh-CN"/>
        </w:rPr>
        <w:t>服务费、检测费、人工费、差旅食宿费、补贴、</w:t>
      </w:r>
      <w:r>
        <w:rPr>
          <w:rFonts w:hint="eastAsia" w:ascii="仿宋" w:hAnsi="仿宋" w:eastAsia="仿宋" w:cs="仿宋"/>
          <w:color w:val="auto"/>
          <w:sz w:val="24"/>
          <w:szCs w:val="24"/>
          <w:highlight w:val="none"/>
          <w:lang w:val="zh-CN"/>
        </w:rPr>
        <w:t>税</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工器具使用费、</w:t>
      </w:r>
      <w:r>
        <w:rPr>
          <w:rFonts w:hint="eastAsia" w:ascii="仿宋" w:hAnsi="仿宋" w:eastAsia="仿宋" w:cs="仿宋"/>
          <w:color w:val="auto"/>
          <w:sz w:val="24"/>
          <w:szCs w:val="24"/>
          <w:highlight w:val="none"/>
          <w:lang w:val="zh-CN" w:eastAsia="zh-CN"/>
        </w:rPr>
        <w:t>配件更换调试的劳务费、</w:t>
      </w:r>
      <w:r>
        <w:rPr>
          <w:rFonts w:hint="eastAsia" w:ascii="仿宋" w:hAnsi="仿宋" w:eastAsia="仿宋" w:cs="仿宋"/>
          <w:color w:val="auto"/>
          <w:sz w:val="24"/>
          <w:szCs w:val="24"/>
          <w:highlight w:val="none"/>
          <w:lang w:val="en-US" w:eastAsia="zh-CN"/>
        </w:rPr>
        <w:t>包装费、运输费、保管费</w:t>
      </w:r>
      <w:r>
        <w:rPr>
          <w:rFonts w:hint="eastAsia" w:ascii="仿宋" w:hAnsi="仿宋" w:eastAsia="仿宋" w:cs="仿宋"/>
          <w:color w:val="auto"/>
          <w:sz w:val="24"/>
          <w:szCs w:val="24"/>
          <w:highlight w:val="none"/>
          <w:lang w:val="zh-CN"/>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，甲方无需再额外支付费用</w:t>
      </w:r>
      <w:r>
        <w:rPr>
          <w:rFonts w:hint="eastAsia" w:ascii="仿宋" w:hAnsi="仿宋" w:eastAsia="仿宋" w:cs="仿宋"/>
          <w:color w:val="auto"/>
          <w:sz w:val="24"/>
          <w:szCs w:val="24"/>
          <w:highlight w:val="none"/>
        </w:rPr>
        <w:t>。</w:t>
      </w:r>
    </w:p>
    <w:p>
      <w:pPr>
        <w:numPr>
          <w:ilvl w:val="2"/>
          <w:numId w:val="2"/>
        </w:numPr>
        <w:tabs>
          <w:tab w:val="left" w:pos="540"/>
        </w:tabs>
        <w:spacing w:line="240" w:lineRule="auto"/>
        <w:ind w:left="480" w:leftChars="0" w:hanging="480" w:hanging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根据现行税法对甲方征收的与本合同有关的一切税费均由甲方承担；根据现行税法对乙方征收的与本合同有关的一切税费均由乙方承担。</w:t>
      </w:r>
    </w:p>
    <w:p>
      <w:pPr>
        <w:numPr>
          <w:ilvl w:val="1"/>
          <w:numId w:val="2"/>
        </w:numPr>
        <w:spacing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r>
        <w:rPr>
          <w:rFonts w:hint="eastAsia" w:ascii="仿宋" w:hAnsi="仿宋" w:eastAsia="仿宋" w:cs="仿宋"/>
          <w:color w:val="auto"/>
          <w:sz w:val="24"/>
          <w:szCs w:val="24"/>
          <w:highlight w:val="none"/>
        </w:rPr>
        <w:t>乙方应缴付甲方履约保证金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人民币：元整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，以保证乙方遵守本合同的一切条款、条件和承诺。</w:t>
      </w:r>
      <w:r>
        <w:rPr>
          <w:rFonts w:hint="eastAsia" w:ascii="仿宋" w:hAnsi="仿宋" w:eastAsia="仿宋" w:cs="仿宋"/>
          <w:color w:val="auto"/>
          <w:sz w:val="24"/>
          <w:szCs w:val="24"/>
          <w:highlight w:val="none"/>
          <w:lang w:val="en-US" w:eastAsia="zh-CN"/>
        </w:rPr>
        <w:t>在签订合同后七天内乙方必须将履约保证金存入甲方指定银行账户。甲方在任何时候都有权从履约保证金中扣除用于修复乙方损坏甲方的设备、设施、场地或乙方违约而导致损失的金额或违约金，且乙方应在接到扣除履约保证金通知后一周内，补足扣除差额，保证合同期间保证金的完整。甲方认为乙方在合同期内没有应付而未付金额或违约行为，甲方在合同期满后或提前终止合同后三十天内退回应扣除金额的无息履约保证金。</w:t>
      </w:r>
    </w:p>
    <w:p>
      <w:pPr>
        <w:numPr>
          <w:ilvl w:val="0"/>
          <w:numId w:val="2"/>
        </w:numPr>
        <w:spacing w:line="240" w:lineRule="auto"/>
        <w:ind w:left="425" w:hanging="42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结算方式</w:t>
      </w:r>
    </w:p>
    <w:p>
      <w:pPr>
        <w:numPr>
          <w:ilvl w:val="1"/>
          <w:numId w:val="2"/>
        </w:numPr>
        <w:spacing w:line="240" w:lineRule="auto"/>
        <w:ind w:left="0" w:firstLine="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付款约定：</w:t>
      </w:r>
      <w:r>
        <w:rPr>
          <w:rFonts w:hint="eastAsia" w:ascii="仿宋" w:hAnsi="仿宋" w:eastAsia="仿宋" w:cs="仿宋"/>
          <w:color w:val="auto"/>
          <w:kern w:val="0"/>
          <w:sz w:val="24"/>
          <w:szCs w:val="24"/>
          <w:highlight w:val="none"/>
          <w:shd w:val="clear" w:color="auto" w:fill="FFFFFF"/>
          <w:lang w:val="en-US" w:eastAsia="zh-CN" w:bidi="ar-SA"/>
        </w:rPr>
        <w:t>甲方每季度末依据《旅客登机桥维保服务考核表》对乙方上季度维保工作质量开展考核，每扣1分对应扣罚人民币100元。甲方依据季度考核表和零配件使用记录计算需支付的季度固定维保费用和零配件费用（每季度固定维保费金额为每年固定维保费的25%）后通知乙方开具增值税专用发票，乙方按照合同4.2要求提供申请付款资料提交甲方审核后由甲方支付维保费。</w:t>
      </w:r>
    </w:p>
    <w:p>
      <w:pPr>
        <w:numPr>
          <w:ilvl w:val="1"/>
          <w:numId w:val="2"/>
        </w:numPr>
        <w:spacing w:line="240" w:lineRule="auto"/>
        <w:ind w:left="0" w:firstLine="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乙方要求付款应提供以下资料：</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增值税专用</w:t>
      </w:r>
      <w:r>
        <w:rPr>
          <w:rFonts w:hint="eastAsia" w:ascii="仿宋" w:hAnsi="仿宋" w:eastAsia="仿宋" w:cs="仿宋"/>
          <w:sz w:val="24"/>
          <w:szCs w:val="24"/>
          <w:highlight w:val="none"/>
        </w:rPr>
        <w:t>发票</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甲乙双方签章的</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验收</w:t>
      </w:r>
      <w:r>
        <w:rPr>
          <w:rFonts w:hint="eastAsia" w:ascii="仿宋" w:hAnsi="仿宋" w:eastAsia="仿宋" w:cs="仿宋"/>
          <w:sz w:val="24"/>
          <w:szCs w:val="24"/>
          <w:highlight w:val="none"/>
          <w:lang w:eastAsia="zh-CN"/>
        </w:rPr>
        <w:t>交接单（附件</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季度维保报告；</w:t>
      </w:r>
    </w:p>
    <w:p>
      <w:pPr>
        <w:numPr>
          <w:ilvl w:val="0"/>
          <w:numId w:val="3"/>
        </w:numPr>
        <w:tabs>
          <w:tab w:val="left" w:pos="1080"/>
        </w:tabs>
        <w:adjustRightInd w:val="0"/>
        <w:spacing w:line="240" w:lineRule="auto"/>
        <w:ind w:firstLine="480" w:firstLineChars="20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若出现本合同签订</w:t>
      </w:r>
      <w:r>
        <w:rPr>
          <w:rFonts w:hint="eastAsia" w:ascii="仿宋" w:hAnsi="仿宋" w:eastAsia="仿宋" w:cs="仿宋"/>
          <w:sz w:val="24"/>
          <w:szCs w:val="24"/>
          <w:highlight w:val="none"/>
        </w:rPr>
        <w:t>采购数量与实际使用数量不一致时</w:t>
      </w:r>
      <w:r>
        <w:rPr>
          <w:rFonts w:hint="eastAsia" w:ascii="仿宋" w:hAnsi="仿宋" w:eastAsia="仿宋" w:cs="仿宋"/>
          <w:sz w:val="24"/>
          <w:szCs w:val="24"/>
          <w:highlight w:val="none"/>
          <w:lang w:eastAsia="zh-CN"/>
        </w:rPr>
        <w:t>，需提供本合同第</w:t>
      </w:r>
      <w:r>
        <w:rPr>
          <w:rFonts w:hint="eastAsia" w:ascii="仿宋" w:hAnsi="仿宋" w:eastAsia="仿宋" w:cs="仿宋"/>
          <w:sz w:val="24"/>
          <w:szCs w:val="24"/>
          <w:highlight w:val="none"/>
          <w:lang w:val="en-US" w:eastAsia="zh-CN"/>
        </w:rPr>
        <w:t>4.5条规定的相关文件</w:t>
      </w:r>
      <w:r>
        <w:rPr>
          <w:rFonts w:hint="eastAsia" w:ascii="仿宋" w:hAnsi="仿宋" w:eastAsia="仿宋" w:cs="仿宋"/>
          <w:sz w:val="24"/>
          <w:szCs w:val="24"/>
          <w:highlight w:val="none"/>
        </w:rPr>
        <w:t>。</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支付方式：银行转账。</w:t>
      </w:r>
    </w:p>
    <w:p>
      <w:pPr>
        <w:numPr>
          <w:ilvl w:val="0"/>
          <w:numId w:val="0"/>
        </w:numPr>
        <w:tabs>
          <w:tab w:val="left" w:pos="420"/>
        </w:tabs>
        <w:spacing w:line="24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满足付款条件后，甲方及时将价款转入乙方提供的银行账号：</w:t>
      </w:r>
    </w:p>
    <w:p>
      <w:pPr>
        <w:numPr>
          <w:ilvl w:val="0"/>
          <w:numId w:val="0"/>
        </w:numPr>
        <w:spacing w:line="240" w:lineRule="auto"/>
        <w:ind w:left="840" w:leftChars="40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收款人：【】</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银行账号：【】</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合同签订后，双方不得以任何方式变更结算价款，但双方协商后确认增减数量点位的情况除外。</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当本合同签订采购内容与实际采购内容不一致时，乙方需提供双方协商一致以书面形式确认实际采购内容的补充协议和实际采购内容的清单文件，合同的最终结算金额按实际采购项目乘以成交单价进行计算。</w:t>
      </w: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知识产权与保密义务</w:t>
      </w:r>
    </w:p>
    <w:p>
      <w:pPr>
        <w:numPr>
          <w:ilvl w:val="1"/>
          <w:numId w:val="2"/>
        </w:numPr>
        <w:spacing w:line="240" w:lineRule="auto"/>
        <w:ind w:left="0" w:firstLine="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根据本合同规定，乙方所完成的</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lang w:eastAsia="zh-CN"/>
        </w:rPr>
        <w:t>文档等在内的所有成果的知识产权归甲方所有。乙方不得再在其他项目中提供给第三方使用，也不得向第三方泄露，同时乙方保证其向甲方提供的工作成果不存在对第三人的知识产权侵权，否则因此产生的侵权责任及给甲方造成的全部损失均由乙方承担。</w:t>
      </w:r>
    </w:p>
    <w:p>
      <w:pPr>
        <w:numPr>
          <w:ilvl w:val="1"/>
          <w:numId w:val="2"/>
        </w:numPr>
        <w:spacing w:line="24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pPr>
        <w:numPr>
          <w:ilvl w:val="1"/>
          <w:numId w:val="2"/>
        </w:numPr>
        <w:spacing w:line="24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rPr>
        <w:t>乙方应保证所提供</w:t>
      </w:r>
      <w:r>
        <w:rPr>
          <w:rFonts w:hint="eastAsia" w:ascii="仿宋" w:hAnsi="仿宋" w:eastAsia="仿宋" w:cs="仿宋"/>
          <w:sz w:val="24"/>
          <w:szCs w:val="24"/>
          <w:highlight w:val="none"/>
          <w:lang w:eastAsia="zh-CN"/>
        </w:rPr>
        <w:t>服务涉及的</w:t>
      </w:r>
      <w:r>
        <w:rPr>
          <w:rFonts w:hint="eastAsia" w:ascii="仿宋" w:hAnsi="仿宋" w:eastAsia="仿宋" w:cs="仿宋"/>
          <w:sz w:val="24"/>
          <w:szCs w:val="24"/>
          <w:highlight w:val="none"/>
        </w:rPr>
        <w:t>知识产权是合法取得，并享有完整的知识产权，不会因为甲方的使用而被责令停止使用、追偿或要求赔偿损失，如出现此情况，一切经济和法律责任均由乙方承担</w:t>
      </w:r>
      <w:r>
        <w:rPr>
          <w:rFonts w:hint="eastAsia" w:ascii="仿宋" w:hAnsi="仿宋" w:eastAsia="仿宋" w:cs="仿宋"/>
          <w:sz w:val="24"/>
          <w:szCs w:val="24"/>
          <w:highlight w:val="none"/>
          <w:lang w:eastAsia="zh-CN"/>
        </w:rPr>
        <w:t>；</w:t>
      </w:r>
    </w:p>
    <w:p>
      <w:pPr>
        <w:numPr>
          <w:ilvl w:val="0"/>
          <w:numId w:val="2"/>
        </w:numPr>
        <w:spacing w:line="240" w:lineRule="auto"/>
        <w:ind w:left="425" w:hanging="425"/>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服务质量要求</w:t>
      </w:r>
      <w:r>
        <w:rPr>
          <w:rFonts w:hint="eastAsia" w:ascii="仿宋" w:hAnsi="仿宋" w:eastAsia="仿宋" w:cs="仿宋"/>
          <w:b/>
          <w:bCs/>
          <w:sz w:val="24"/>
          <w:szCs w:val="24"/>
          <w:highlight w:val="none"/>
          <w:lang w:val="en-US" w:eastAsia="zh-CN"/>
        </w:rPr>
        <w:t>/目标</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按照本合同前款所述及双方招投标文件中约定的服务时间、地点、内容、数量和质量的要求向甲方提供服务，在合同期内，若乙方提供的服务未达到约定的数量和质量等标准，应及时更换、补齐或提升服务水平至本合同约定的标准。</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具有提供本合同所载服务应具有的各项资质及专业技术人员，乙方工作人员在提供服务的过程中应遵守甲方的相关规章，文明操作，安全服务；由于乙方的管理失误或乙方工作人员的原因造成的损失乙方承担全部责任。</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乙方提供的服务必须符合国家相关法律法规、甲方招标文件和乙方响应文件中要求的服务质量；</w:t>
      </w:r>
      <w:r>
        <w:rPr>
          <w:rFonts w:hint="eastAsia" w:ascii="仿宋" w:hAnsi="仿宋" w:eastAsia="仿宋" w:cs="仿宋"/>
          <w:sz w:val="24"/>
          <w:szCs w:val="24"/>
          <w:highlight w:val="none"/>
          <w:lang w:eastAsia="zh-CN"/>
        </w:rPr>
        <w:t>若技术规格中无相应规定，则应符合相应的中国国家标准或</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lang w:eastAsia="zh-CN"/>
        </w:rPr>
        <w:t>国家有关部门最新颁布的相应的正式标准。在合同有效期内，如与本合同标的物相关的国家质量标准发生变化，则以国家最新颁布的标准及规范执行。</w:t>
      </w: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验收</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验收标准：</w:t>
      </w:r>
      <w:r>
        <w:rPr>
          <w:rFonts w:hint="eastAsia" w:ascii="仿宋" w:hAnsi="仿宋" w:eastAsia="仿宋" w:cs="仿宋"/>
          <w:color w:val="auto"/>
          <w:sz w:val="24"/>
          <w:szCs w:val="24"/>
          <w:highlight w:val="none"/>
        </w:rPr>
        <w:t>乙方提供的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必须符合我国最新颁布的与之相关的</w:t>
      </w:r>
      <w:r>
        <w:rPr>
          <w:rFonts w:hint="eastAsia" w:ascii="仿宋" w:hAnsi="仿宋" w:eastAsia="仿宋" w:cs="仿宋"/>
          <w:color w:val="auto"/>
          <w:sz w:val="24"/>
          <w:szCs w:val="24"/>
          <w:highlight w:val="none"/>
          <w:lang w:val="en-US" w:eastAsia="zh-CN"/>
        </w:rPr>
        <w:t>法律法规、</w:t>
      </w:r>
      <w:r>
        <w:rPr>
          <w:rFonts w:hint="eastAsia" w:ascii="仿宋" w:hAnsi="仿宋" w:eastAsia="仿宋" w:cs="仿宋"/>
          <w:color w:val="auto"/>
          <w:sz w:val="24"/>
          <w:szCs w:val="24"/>
          <w:highlight w:val="none"/>
        </w:rPr>
        <w:t>技术规范与标准，同时必须满足</w:t>
      </w:r>
      <w:r>
        <w:rPr>
          <w:rFonts w:hint="eastAsia" w:ascii="仿宋" w:hAnsi="仿宋" w:eastAsia="仿宋" w:cs="仿宋"/>
          <w:color w:val="auto"/>
          <w:sz w:val="24"/>
          <w:szCs w:val="24"/>
          <w:highlight w:val="none"/>
          <w:lang w:val="en-US" w:eastAsia="zh-CN"/>
        </w:rPr>
        <w:t>合同、招标文件以及响应文件</w:t>
      </w:r>
      <w:r>
        <w:rPr>
          <w:rFonts w:hint="eastAsia" w:ascii="仿宋" w:hAnsi="仿宋" w:eastAsia="仿宋" w:cs="仿宋"/>
          <w:color w:val="auto"/>
          <w:sz w:val="24"/>
          <w:szCs w:val="24"/>
          <w:highlight w:val="none"/>
        </w:rPr>
        <w:t>中所列规格、具体配置、技术条件及功能要求和乙方承诺的其它指标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否则甲方有权拒绝验收。</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验收方式：【</w:t>
      </w:r>
      <w:r>
        <w:rPr>
          <w:rFonts w:hint="eastAsia" w:ascii="仿宋" w:hAnsi="仿宋" w:eastAsia="仿宋" w:cs="仿宋"/>
          <w:color w:val="auto"/>
          <w:kern w:val="0"/>
          <w:sz w:val="24"/>
          <w:szCs w:val="24"/>
          <w:highlight w:val="none"/>
          <w:shd w:val="clear" w:color="auto" w:fill="FFFFFF"/>
          <w:lang w:val="en-US" w:eastAsia="zh-CN" w:bidi="ar-SA"/>
        </w:rPr>
        <w:t>双方现场共同验收</w:t>
      </w:r>
      <w:r>
        <w:rPr>
          <w:rFonts w:hint="eastAsia" w:ascii="仿宋" w:hAnsi="仿宋" w:eastAsia="仿宋" w:cs="仿宋"/>
          <w:color w:val="auto"/>
          <w:sz w:val="24"/>
          <w:szCs w:val="24"/>
          <w:highlight w:val="none"/>
          <w:lang w:eastAsia="zh-CN"/>
        </w:rPr>
        <w:t>】</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验收文件：</w:t>
      </w:r>
      <w:r>
        <w:rPr>
          <w:rFonts w:hint="eastAsia" w:ascii="仿宋" w:hAnsi="仿宋" w:eastAsia="仿宋" w:cs="仿宋"/>
          <w:color w:val="auto"/>
          <w:sz w:val="24"/>
          <w:szCs w:val="24"/>
          <w:highlight w:val="none"/>
        </w:rPr>
        <w:t>甲方根据合同规定的内容和验收标准进行验收，经检验无误后出具</w:t>
      </w:r>
      <w:r>
        <w:rPr>
          <w:rFonts w:hint="eastAsia" w:ascii="仿宋" w:hAnsi="仿宋" w:eastAsia="仿宋" w:cs="仿宋"/>
          <w:b/>
          <w:bCs/>
          <w:color w:val="auto"/>
          <w:sz w:val="24"/>
          <w:szCs w:val="24"/>
          <w:highlight w:val="none"/>
          <w:u w:val="single"/>
          <w:lang w:eastAsia="zh-CN"/>
        </w:rPr>
        <w:t>服务</w:t>
      </w:r>
      <w:r>
        <w:rPr>
          <w:rFonts w:hint="eastAsia" w:ascii="仿宋" w:hAnsi="仿宋" w:eastAsia="仿宋" w:cs="仿宋"/>
          <w:b/>
          <w:bCs/>
          <w:color w:val="auto"/>
          <w:sz w:val="24"/>
          <w:szCs w:val="24"/>
          <w:highlight w:val="none"/>
          <w:u w:val="single"/>
          <w:lang w:val="en-US" w:eastAsia="zh-CN"/>
        </w:rPr>
        <w:t>验收交接单（附件9）</w:t>
      </w:r>
      <w:r>
        <w:rPr>
          <w:rFonts w:hint="eastAsia" w:ascii="仿宋" w:hAnsi="仿宋" w:eastAsia="仿宋" w:cs="仿宋"/>
          <w:color w:val="auto"/>
          <w:sz w:val="24"/>
          <w:szCs w:val="24"/>
          <w:highlight w:val="none"/>
        </w:rPr>
        <w:t>，双方代表须按规定的验收项目对照本合同填好</w:t>
      </w:r>
      <w:r>
        <w:rPr>
          <w:rFonts w:hint="eastAsia" w:ascii="仿宋" w:hAnsi="仿宋" w:eastAsia="仿宋" w:cs="仿宋"/>
          <w:color w:val="auto"/>
          <w:sz w:val="24"/>
          <w:szCs w:val="24"/>
          <w:highlight w:val="none"/>
          <w:lang w:eastAsia="zh-CN"/>
        </w:rPr>
        <w:t>验收交接单</w:t>
      </w:r>
      <w:r>
        <w:rPr>
          <w:rFonts w:hint="eastAsia" w:ascii="仿宋" w:hAnsi="仿宋" w:eastAsia="仿宋" w:cs="仿宋"/>
          <w:color w:val="auto"/>
          <w:sz w:val="24"/>
          <w:szCs w:val="24"/>
          <w:highlight w:val="none"/>
        </w:rPr>
        <w:t>并签名盖章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作为最终付款所需文件的组成部分</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验收结果：</w:t>
      </w:r>
      <w:r>
        <w:rPr>
          <w:rFonts w:hint="eastAsia" w:ascii="仿宋" w:hAnsi="仿宋" w:eastAsia="仿宋" w:cs="仿宋"/>
          <w:color w:val="auto"/>
          <w:sz w:val="24"/>
          <w:szCs w:val="24"/>
          <w:highlight w:val="none"/>
          <w:shd w:val="clear" w:color="auto" w:fill="auto"/>
        </w:rPr>
        <w:t>如果标的物的数量、质量或规格与合同不符或证实标的物是具有缺陷的，包括潜在缺陷或使用不符合要求的材料等，甲方</w:t>
      </w:r>
      <w:r>
        <w:rPr>
          <w:rFonts w:hint="eastAsia" w:ascii="仿宋" w:hAnsi="仿宋" w:eastAsia="仿宋" w:cs="仿宋"/>
          <w:color w:val="auto"/>
          <w:sz w:val="24"/>
          <w:szCs w:val="24"/>
          <w:highlight w:val="none"/>
          <w:shd w:val="clear" w:color="auto" w:fill="auto"/>
          <w:lang w:val="en-US" w:eastAsia="zh-CN"/>
        </w:rPr>
        <w:t>应尽快以书面方式将拒绝验收的决定通知到乙方，同时</w:t>
      </w:r>
      <w:r>
        <w:rPr>
          <w:rFonts w:hint="eastAsia" w:ascii="仿宋" w:hAnsi="仿宋" w:eastAsia="仿宋" w:cs="仿宋"/>
          <w:color w:val="auto"/>
          <w:sz w:val="24"/>
          <w:szCs w:val="24"/>
          <w:highlight w:val="none"/>
          <w:shd w:val="clear" w:color="auto" w:fill="auto"/>
          <w:lang w:eastAsia="zh-CN"/>
        </w:rPr>
        <w:t>依照本合同第</w:t>
      </w: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lang w:eastAsia="zh-CN"/>
        </w:rPr>
        <w:t>条规定</w:t>
      </w:r>
      <w:r>
        <w:rPr>
          <w:rFonts w:hint="eastAsia" w:ascii="仿宋" w:hAnsi="仿宋" w:eastAsia="仿宋" w:cs="仿宋"/>
          <w:color w:val="auto"/>
          <w:sz w:val="24"/>
          <w:szCs w:val="24"/>
          <w:highlight w:val="none"/>
          <w:shd w:val="clear" w:color="auto" w:fill="auto"/>
        </w:rPr>
        <w:t>向乙方提出索赔</w:t>
      </w:r>
      <w:r>
        <w:rPr>
          <w:rFonts w:hint="eastAsia" w:ascii="仿宋" w:hAnsi="仿宋" w:eastAsia="仿宋" w:cs="仿宋"/>
          <w:color w:val="auto"/>
          <w:sz w:val="24"/>
          <w:szCs w:val="24"/>
          <w:highlight w:val="none"/>
          <w:shd w:val="clear" w:color="auto" w:fill="auto"/>
          <w:lang w:eastAsia="zh-CN"/>
        </w:rPr>
        <w:t>，并</w:t>
      </w:r>
      <w:r>
        <w:rPr>
          <w:rFonts w:hint="eastAsia" w:ascii="仿宋" w:hAnsi="仿宋" w:eastAsia="仿宋" w:cs="仿宋"/>
          <w:color w:val="auto"/>
          <w:sz w:val="24"/>
          <w:szCs w:val="24"/>
          <w:highlight w:val="none"/>
          <w:shd w:val="clear" w:color="auto" w:fill="auto"/>
          <w:lang w:val="en-US" w:eastAsia="zh-CN"/>
        </w:rPr>
        <w:t>要求乙方</w:t>
      </w:r>
      <w:r>
        <w:rPr>
          <w:rFonts w:hint="eastAsia" w:ascii="仿宋" w:hAnsi="仿宋" w:eastAsia="仿宋" w:cs="仿宋"/>
          <w:color w:val="auto"/>
          <w:sz w:val="24"/>
          <w:szCs w:val="24"/>
          <w:highlight w:val="none"/>
          <w:shd w:val="clear" w:color="auto" w:fill="auto"/>
          <w:lang w:eastAsia="zh-CN"/>
        </w:rPr>
        <w:t>承担相应的违约责任</w:t>
      </w:r>
      <w:r>
        <w:rPr>
          <w:rFonts w:hint="eastAsia" w:ascii="仿宋" w:hAnsi="仿宋" w:eastAsia="仿宋" w:cs="仿宋"/>
          <w:color w:val="auto"/>
          <w:sz w:val="24"/>
          <w:szCs w:val="24"/>
          <w:highlight w:val="none"/>
          <w:shd w:val="clear" w:color="auto" w:fill="auto"/>
          <w:lang w:val="en-US" w:eastAsia="zh-CN"/>
        </w:rPr>
        <w:t>。</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第三方检验：</w:t>
      </w:r>
      <w:r>
        <w:rPr>
          <w:rFonts w:hint="eastAsia" w:ascii="仿宋" w:hAnsi="仿宋" w:eastAsia="仿宋" w:cs="仿宋"/>
          <w:color w:val="auto"/>
          <w:sz w:val="24"/>
          <w:szCs w:val="24"/>
          <w:highlight w:val="none"/>
        </w:rPr>
        <w:t>如双方对验收结果有分歧，</w:t>
      </w:r>
      <w:r>
        <w:rPr>
          <w:rFonts w:hint="eastAsia" w:ascii="仿宋" w:hAnsi="仿宋" w:eastAsia="仿宋" w:cs="仿宋"/>
          <w:color w:val="auto"/>
          <w:sz w:val="24"/>
          <w:szCs w:val="24"/>
          <w:highlight w:val="none"/>
          <w:lang w:eastAsia="zh-CN"/>
        </w:rPr>
        <w:t>可以提请</w:t>
      </w:r>
      <w:r>
        <w:rPr>
          <w:rFonts w:hint="eastAsia" w:ascii="仿宋" w:hAnsi="仿宋" w:eastAsia="仿宋" w:cs="仿宋"/>
          <w:color w:val="auto"/>
          <w:sz w:val="24"/>
          <w:szCs w:val="24"/>
          <w:highlight w:val="none"/>
          <w:shd w:val="clear" w:color="auto" w:fill="auto"/>
        </w:rPr>
        <w:t>当地技监部门</w:t>
      </w:r>
      <w:r>
        <w:rPr>
          <w:rFonts w:hint="eastAsia" w:ascii="仿宋" w:hAnsi="仿宋" w:eastAsia="仿宋" w:cs="仿宋"/>
          <w:color w:val="auto"/>
          <w:sz w:val="24"/>
          <w:szCs w:val="24"/>
          <w:highlight w:val="none"/>
          <w:shd w:val="clear" w:color="auto" w:fill="auto"/>
          <w:lang w:eastAsia="zh-CN"/>
        </w:rPr>
        <w:t>或第三方权威机构进行检验，</w:t>
      </w:r>
      <w:r>
        <w:rPr>
          <w:rFonts w:hint="eastAsia" w:ascii="仿宋" w:hAnsi="仿宋" w:eastAsia="仿宋" w:cs="仿宋"/>
          <w:color w:val="auto"/>
          <w:sz w:val="24"/>
          <w:szCs w:val="24"/>
          <w:highlight w:val="none"/>
        </w:rPr>
        <w:t>以第三方权威机构的检验结果为准，检验费由有过失的一方支付</w:t>
      </w:r>
      <w:r>
        <w:rPr>
          <w:rFonts w:hint="eastAsia" w:ascii="仿宋" w:hAnsi="仿宋" w:eastAsia="仿宋" w:cs="仿宋"/>
          <w:color w:val="auto"/>
          <w:sz w:val="24"/>
          <w:szCs w:val="24"/>
          <w:highlight w:val="none"/>
          <w:lang w:eastAsia="zh-CN"/>
        </w:rPr>
        <w:t>。</w:t>
      </w:r>
    </w:p>
    <w:p>
      <w:pPr>
        <w:numPr>
          <w:ilvl w:val="0"/>
          <w:numId w:val="2"/>
        </w:numPr>
        <w:spacing w:line="240" w:lineRule="auto"/>
        <w:ind w:left="425" w:hanging="42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双方权利与义务</w:t>
      </w:r>
    </w:p>
    <w:p>
      <w:pPr>
        <w:numPr>
          <w:ilvl w:val="1"/>
          <w:numId w:val="2"/>
        </w:numPr>
        <w:spacing w:line="240" w:lineRule="auto"/>
        <w:ind w:left="0" w:firstLine="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甲方权利与义务</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甲方在合同签订后按照乙方提交的资料清单，向乙方提供所需资料，若提交时间超过约定期限，乙方提供服务成果的时间可相应顺延。甲方仅对提供资料的真实性负责。</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甲方应协助乙方征询有关方面的意见，</w:t>
      </w:r>
      <w:r>
        <w:rPr>
          <w:rFonts w:hint="eastAsia" w:ascii="仿宋" w:hAnsi="仿宋" w:eastAsia="仿宋" w:cs="仿宋"/>
          <w:color w:val="auto"/>
          <w:sz w:val="24"/>
          <w:szCs w:val="24"/>
          <w:highlight w:val="none"/>
          <w:lang w:val="en-US" w:eastAsia="zh-CN"/>
        </w:rPr>
        <w:t>协助乙方解决服务工作现场遇到的特殊问题</w:t>
      </w:r>
      <w:r>
        <w:rPr>
          <w:rFonts w:hint="eastAsia" w:ascii="仿宋" w:hAnsi="仿宋" w:eastAsia="仿宋" w:cs="仿宋"/>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甲方应根据合同规定如期向乙方支付合同金额。</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甲方有权</w:t>
      </w:r>
      <w:r>
        <w:rPr>
          <w:rFonts w:hint="eastAsia" w:ascii="仿宋" w:hAnsi="仿宋" w:eastAsia="仿宋" w:cs="仿宋"/>
          <w:color w:val="auto"/>
          <w:sz w:val="24"/>
          <w:szCs w:val="24"/>
          <w:highlight w:val="none"/>
          <w:lang w:eastAsia="zh-CN"/>
        </w:rPr>
        <w:t>指派专人按照《</w:t>
      </w:r>
      <w:r>
        <w:rPr>
          <w:rFonts w:hint="eastAsia" w:ascii="仿宋" w:hAnsi="仿宋" w:eastAsia="仿宋" w:cs="仿宋"/>
          <w:color w:val="auto"/>
          <w:sz w:val="24"/>
          <w:szCs w:val="24"/>
          <w:highlight w:val="none"/>
          <w:lang w:val="en-US" w:eastAsia="zh-CN"/>
        </w:rPr>
        <w:t>附件6：旅客登机桥维保考核实施方案</w:t>
      </w:r>
      <w:r>
        <w:rPr>
          <w:rFonts w:hint="eastAsia" w:ascii="仿宋" w:hAnsi="仿宋" w:eastAsia="仿宋" w:cs="仿宋"/>
          <w:color w:val="auto"/>
          <w:sz w:val="24"/>
          <w:szCs w:val="24"/>
          <w:highlight w:val="none"/>
          <w:lang w:eastAsia="zh-CN"/>
        </w:rPr>
        <w:t>》对乙方服务质量进行</w:t>
      </w:r>
      <w:r>
        <w:rPr>
          <w:rFonts w:hint="eastAsia" w:ascii="仿宋" w:hAnsi="仿宋" w:eastAsia="仿宋" w:cs="仿宋"/>
          <w:color w:val="auto"/>
          <w:sz w:val="24"/>
          <w:szCs w:val="24"/>
          <w:highlight w:val="none"/>
          <w:lang w:val="en-US" w:eastAsia="zh-CN"/>
        </w:rPr>
        <w:t>考评</w:t>
      </w:r>
      <w:r>
        <w:rPr>
          <w:rFonts w:hint="eastAsia" w:ascii="仿宋" w:hAnsi="仿宋" w:eastAsia="仿宋" w:cs="仿宋"/>
          <w:color w:val="auto"/>
          <w:sz w:val="24"/>
          <w:szCs w:val="24"/>
          <w:highlight w:val="none"/>
          <w:lang w:eastAsia="zh-CN"/>
        </w:rPr>
        <w:t>，如发现不符合甲方要求</w:t>
      </w:r>
      <w:r>
        <w:rPr>
          <w:rFonts w:hint="eastAsia" w:ascii="仿宋" w:hAnsi="仿宋" w:eastAsia="仿宋" w:cs="仿宋"/>
          <w:color w:val="auto"/>
          <w:sz w:val="24"/>
          <w:szCs w:val="24"/>
          <w:highlight w:val="none"/>
          <w:lang w:val="en-US" w:eastAsia="zh-CN"/>
        </w:rPr>
        <w:t>通知乙方</w:t>
      </w:r>
      <w:r>
        <w:rPr>
          <w:rFonts w:hint="eastAsia" w:ascii="仿宋" w:hAnsi="仿宋" w:eastAsia="仿宋" w:cs="仿宋"/>
          <w:color w:val="auto"/>
          <w:sz w:val="24"/>
          <w:szCs w:val="24"/>
          <w:highlight w:val="none"/>
          <w:lang w:eastAsia="zh-CN"/>
        </w:rPr>
        <w:t>人员立即整改</w:t>
      </w:r>
      <w:r>
        <w:rPr>
          <w:rFonts w:hint="eastAsia" w:ascii="仿宋" w:hAnsi="仿宋" w:eastAsia="仿宋" w:cs="仿宋"/>
          <w:color w:val="auto"/>
          <w:sz w:val="24"/>
          <w:szCs w:val="24"/>
          <w:highlight w:val="none"/>
          <w:lang w:val="en-US" w:eastAsia="zh-CN"/>
        </w:rPr>
        <w:t>并予以考核扣款</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lang w:val="en-US" w:eastAsia="zh-CN"/>
        </w:rPr>
        <w:t>整改不及时、不到位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将</w:t>
      </w:r>
      <w:r>
        <w:rPr>
          <w:rFonts w:hint="eastAsia" w:ascii="仿宋" w:hAnsi="仿宋" w:eastAsia="仿宋" w:cs="仿宋"/>
          <w:color w:val="auto"/>
          <w:sz w:val="24"/>
          <w:szCs w:val="24"/>
          <w:highlight w:val="none"/>
          <w:lang w:eastAsia="zh-CN"/>
        </w:rPr>
        <w:t>视情况</w:t>
      </w:r>
      <w:r>
        <w:rPr>
          <w:rFonts w:hint="eastAsia" w:ascii="仿宋" w:hAnsi="仿宋" w:eastAsia="仿宋" w:cs="仿宋"/>
          <w:color w:val="auto"/>
          <w:sz w:val="24"/>
          <w:szCs w:val="24"/>
          <w:highlight w:val="none"/>
          <w:lang w:val="en-US" w:eastAsia="zh-CN"/>
        </w:rPr>
        <w:t>予以加倍考核。</w:t>
      </w:r>
      <w:r>
        <w:rPr>
          <w:rFonts w:hint="eastAsia" w:ascii="仿宋" w:hAnsi="仿宋" w:eastAsia="仿宋" w:cs="仿宋"/>
          <w:color w:val="auto"/>
          <w:sz w:val="24"/>
          <w:szCs w:val="24"/>
          <w:highlight w:val="none"/>
          <w:lang w:eastAsia="zh-CN"/>
        </w:rPr>
        <w:t>因服务、安全、质量等原因扣款和违约金及其他应付甲方的款项，在合同服务费用中扣除。</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甲方有权要求乙方对员工进行上岗前安全培训并进行监督，对乙方不合格的</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提出调整、更换，有权对乙方员工</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"http://www.fdcew.com/hypx/List_181.html" \t "_blank"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培训</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进行监督指导。</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在合同每段服务期内（12个月）考核不合格次数累计达到2次的，</w:t>
      </w:r>
      <w:r>
        <w:rPr>
          <w:rFonts w:hint="eastAsia" w:ascii="仿宋" w:hAnsi="仿宋" w:eastAsia="仿宋" w:cs="仿宋"/>
          <w:color w:val="auto"/>
          <w:sz w:val="24"/>
          <w:szCs w:val="24"/>
          <w:highlight w:val="none"/>
          <w:lang w:eastAsia="zh-CN"/>
        </w:rPr>
        <w:t>甲方有权</w:t>
      </w:r>
      <w:r>
        <w:rPr>
          <w:rFonts w:hint="eastAsia" w:ascii="仿宋" w:hAnsi="仿宋" w:eastAsia="仿宋" w:cs="仿宋"/>
          <w:color w:val="auto"/>
          <w:sz w:val="24"/>
          <w:szCs w:val="24"/>
          <w:highlight w:val="none"/>
          <w:lang w:val="en-US" w:eastAsia="zh-CN"/>
        </w:rPr>
        <w:t>无责</w:t>
      </w:r>
      <w:r>
        <w:rPr>
          <w:rFonts w:hint="eastAsia" w:ascii="仿宋" w:hAnsi="仿宋" w:eastAsia="仿宋" w:cs="仿宋"/>
          <w:color w:val="auto"/>
          <w:sz w:val="24"/>
          <w:szCs w:val="24"/>
          <w:highlight w:val="none"/>
          <w:lang w:eastAsia="zh-CN"/>
        </w:rPr>
        <w:t>解除合同。</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因乙方原因未实施的项目，甲方有权另择供应商实施，所产生的一切费用由乙方承担。</w:t>
      </w:r>
    </w:p>
    <w:p>
      <w:pPr>
        <w:numPr>
          <w:ilvl w:val="1"/>
          <w:numId w:val="2"/>
        </w:numPr>
        <w:spacing w:line="24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乙方权利与义务</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乙方应按国家和地方有关法律法规、技术规范标准以及合同约定的工作内容履行合同义务。</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乙方配合甲方向有关部门汇报和参加评审，并负责提供所需的汇报资料、评审资料。</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成果中的遗漏、差错、缺陷应负责进行</w:t>
      </w:r>
      <w:r>
        <w:rPr>
          <w:rFonts w:hint="eastAsia" w:ascii="仿宋" w:hAnsi="仿宋" w:eastAsia="仿宋" w:cs="仿宋"/>
          <w:color w:val="auto"/>
          <w:sz w:val="24"/>
          <w:szCs w:val="24"/>
          <w:highlight w:val="none"/>
          <w:lang w:val="en-US" w:eastAsia="zh-CN"/>
        </w:rPr>
        <w:t>补齐、更换或提升服务水平</w:t>
      </w:r>
      <w:r>
        <w:rPr>
          <w:rFonts w:hint="eastAsia" w:ascii="仿宋" w:hAnsi="仿宋" w:eastAsia="仿宋" w:cs="仿宋"/>
          <w:color w:val="auto"/>
          <w:sz w:val="24"/>
          <w:szCs w:val="24"/>
          <w:highlight w:val="none"/>
          <w:lang w:eastAsia="zh-CN"/>
        </w:rPr>
        <w:t>，直至符合本合同约定。因</w:t>
      </w:r>
      <w:r>
        <w:rPr>
          <w:rFonts w:hint="eastAsia" w:ascii="仿宋" w:hAnsi="仿宋" w:eastAsia="仿宋" w:cs="仿宋"/>
          <w:color w:val="auto"/>
          <w:sz w:val="24"/>
          <w:szCs w:val="24"/>
          <w:highlight w:val="none"/>
          <w:lang w:val="en-US" w:eastAsia="zh-CN"/>
        </w:rPr>
        <w:t>乙方原因</w:t>
      </w:r>
      <w:r>
        <w:rPr>
          <w:rFonts w:hint="eastAsia" w:ascii="仿宋" w:hAnsi="仿宋" w:eastAsia="仿宋" w:cs="仿宋"/>
          <w:color w:val="auto"/>
          <w:sz w:val="24"/>
          <w:szCs w:val="24"/>
          <w:highlight w:val="none"/>
          <w:lang w:eastAsia="zh-CN"/>
        </w:rPr>
        <w:t>造成的</w:t>
      </w:r>
      <w:r>
        <w:rPr>
          <w:rFonts w:hint="eastAsia" w:ascii="仿宋" w:hAnsi="仿宋" w:eastAsia="仿宋" w:cs="仿宋"/>
          <w:color w:val="auto"/>
          <w:sz w:val="24"/>
          <w:szCs w:val="24"/>
          <w:highlight w:val="none"/>
          <w:lang w:val="en-US" w:eastAsia="zh-CN"/>
        </w:rPr>
        <w:t>损失</w:t>
      </w:r>
      <w:r>
        <w:rPr>
          <w:rFonts w:hint="eastAsia" w:ascii="仿宋" w:hAnsi="仿宋" w:eastAsia="仿宋" w:cs="仿宋"/>
          <w:color w:val="auto"/>
          <w:sz w:val="24"/>
          <w:szCs w:val="24"/>
          <w:highlight w:val="none"/>
          <w:lang w:eastAsia="zh-CN"/>
        </w:rPr>
        <w:t>由乙方自行承担。</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在履行合同过程中，如果乙方遇到不能</w:t>
      </w:r>
      <w:r>
        <w:rPr>
          <w:rFonts w:hint="eastAsia" w:ascii="仿宋" w:hAnsi="仿宋" w:eastAsia="仿宋" w:cs="仿宋"/>
          <w:color w:val="auto"/>
          <w:sz w:val="24"/>
          <w:szCs w:val="24"/>
          <w:highlight w:val="none"/>
          <w:lang w:val="en-US" w:eastAsia="zh-CN"/>
        </w:rPr>
        <w:t>按照合同约定履行相应服务</w:t>
      </w:r>
      <w:r>
        <w:rPr>
          <w:rFonts w:hint="eastAsia" w:ascii="仿宋" w:hAnsi="仿宋" w:eastAsia="仿宋" w:cs="仿宋"/>
          <w:color w:val="auto"/>
          <w:sz w:val="24"/>
          <w:szCs w:val="24"/>
          <w:highlight w:val="none"/>
          <w:lang w:eastAsia="zh-CN"/>
        </w:rPr>
        <w:t>的情况，应及时以书面形式将不能按时交付的理由、可能延误的期限通知甲方。</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为保证项目服务质量，乙方应保证项目团队的稳定性，未经甲方同意不得擅自更换项目团队人员，同时，如果甲方发现乙方指派人员不能胜任工作任务的，甲方有权要求乙方进行更换。</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乙方应遵守国家、江苏省、南通市及甲方的公共卫生</w:t>
      </w:r>
      <w:r>
        <w:rPr>
          <w:rFonts w:hint="eastAsia" w:ascii="仿宋" w:hAnsi="仿宋" w:eastAsia="仿宋" w:cs="仿宋"/>
          <w:b w:val="0"/>
          <w:bCs w:val="0"/>
          <w:color w:val="auto"/>
          <w:sz w:val="24"/>
          <w:szCs w:val="24"/>
          <w:highlight w:val="none"/>
          <w:lang w:val="en-US" w:eastAsia="zh-CN"/>
        </w:rPr>
        <w:t>管理</w:t>
      </w:r>
      <w:r>
        <w:rPr>
          <w:rFonts w:hint="eastAsia" w:ascii="仿宋" w:hAnsi="仿宋" w:eastAsia="仿宋" w:cs="仿宋"/>
          <w:b w:val="0"/>
          <w:bCs w:val="0"/>
          <w:color w:val="auto"/>
          <w:sz w:val="24"/>
          <w:szCs w:val="24"/>
          <w:highlight w:val="none"/>
          <w:lang w:eastAsia="zh-CN"/>
        </w:rPr>
        <w:t>规定，完全配合做好人物的防护措施，自动告知甲方相关情况；不隐瞒信息、不伪造相关材料。</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不以任何形式</w:t>
      </w:r>
      <w:r>
        <w:rPr>
          <w:rFonts w:hint="eastAsia" w:ascii="仿宋" w:hAnsi="仿宋" w:eastAsia="仿宋" w:cs="仿宋"/>
          <w:b w:val="0"/>
          <w:bCs w:val="0"/>
          <w:color w:val="auto"/>
          <w:sz w:val="24"/>
          <w:szCs w:val="24"/>
          <w:highlight w:val="none"/>
          <w:lang w:val="en-US" w:eastAsia="zh-CN"/>
        </w:rPr>
        <w:t>转包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分包、</w:t>
      </w:r>
      <w:r>
        <w:rPr>
          <w:rFonts w:hint="eastAsia" w:ascii="仿宋" w:hAnsi="仿宋" w:eastAsia="仿宋" w:cs="仿宋"/>
          <w:b w:val="0"/>
          <w:bCs w:val="0"/>
          <w:color w:val="auto"/>
          <w:sz w:val="24"/>
          <w:szCs w:val="24"/>
          <w:highlight w:val="none"/>
          <w:lang w:eastAsia="zh-CN"/>
        </w:rPr>
        <w:t>转让、抵押承包</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乙方应配合甲方或其授权人员的监督及对服务工作质量的检查。</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eastAsia="zh-CN"/>
        </w:rPr>
        <w:t>工作时间必须满足甲方的营运要求，包括节假日和法定假期，乙方不得以任何理由，停止外包服务工作。</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乙方项目负责人和</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eastAsia="zh-CN"/>
        </w:rPr>
        <w:t>团队必须与投标文件承诺的一致，项目</w:t>
      </w:r>
      <w:r>
        <w:rPr>
          <w:rFonts w:hint="eastAsia" w:ascii="仿宋" w:hAnsi="仿宋" w:eastAsia="仿宋" w:cs="仿宋"/>
          <w:b w:val="0"/>
          <w:bCs w:val="0"/>
          <w:color w:val="auto"/>
          <w:sz w:val="24"/>
          <w:szCs w:val="24"/>
          <w:highlight w:val="none"/>
          <w:lang w:val="en-US" w:eastAsia="zh-CN"/>
        </w:rPr>
        <w:t>负责人</w:t>
      </w:r>
      <w:r>
        <w:rPr>
          <w:rFonts w:hint="eastAsia" w:ascii="仿宋" w:hAnsi="仿宋" w:eastAsia="仿宋" w:cs="仿宋"/>
          <w:b w:val="0"/>
          <w:bCs w:val="0"/>
          <w:color w:val="auto"/>
          <w:sz w:val="24"/>
          <w:szCs w:val="24"/>
          <w:highlight w:val="none"/>
          <w:lang w:eastAsia="zh-CN"/>
        </w:rPr>
        <w:t>全权代表乙方并保证服务业务的正常运作并与甲方保持密切联系。</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乙方项目团队</w:t>
      </w:r>
      <w:r>
        <w:rPr>
          <w:rFonts w:hint="eastAsia" w:ascii="仿宋" w:hAnsi="仿宋" w:eastAsia="仿宋" w:cs="仿宋"/>
          <w:b w:val="0"/>
          <w:bCs w:val="0"/>
          <w:color w:val="auto"/>
          <w:sz w:val="24"/>
          <w:szCs w:val="24"/>
          <w:highlight w:val="none"/>
          <w:lang w:eastAsia="zh-CN"/>
        </w:rPr>
        <w:t>聘用人员必须经培训考核合格上岗，</w:t>
      </w:r>
      <w:r>
        <w:rPr>
          <w:rFonts w:hint="eastAsia" w:ascii="仿宋" w:hAnsi="仿宋" w:eastAsia="仿宋" w:cs="仿宋"/>
          <w:b w:val="0"/>
          <w:bCs w:val="0"/>
          <w:color w:val="auto"/>
          <w:sz w:val="24"/>
          <w:szCs w:val="24"/>
          <w:highlight w:val="none"/>
          <w:lang w:val="en-US" w:eastAsia="zh-CN"/>
        </w:rPr>
        <w:t>要求需持有国家相关资格证书的人员必须持有效资格证书上岗</w:t>
      </w:r>
      <w:r>
        <w:rPr>
          <w:rFonts w:hint="eastAsia" w:ascii="仿宋" w:hAnsi="仿宋" w:eastAsia="仿宋" w:cs="仿宋"/>
          <w:b w:val="0"/>
          <w:bCs w:val="0"/>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乙方用工必须遵守《中华人民共和国劳动法》《中华人民共和国劳动合同法》及相关法律法规，保障员工工资待遇、福利和休息，提供劳动保护（包括</w:t>
      </w:r>
      <w:r>
        <w:rPr>
          <w:rFonts w:hint="eastAsia" w:ascii="仿宋" w:hAnsi="仿宋" w:eastAsia="仿宋" w:cs="仿宋"/>
          <w:b w:val="0"/>
          <w:bCs w:val="0"/>
          <w:color w:val="auto"/>
          <w:sz w:val="24"/>
          <w:szCs w:val="24"/>
          <w:highlight w:val="none"/>
          <w:lang w:val="en-US" w:eastAsia="zh-CN"/>
        </w:rPr>
        <w:t>但</w:t>
      </w:r>
      <w:r>
        <w:rPr>
          <w:rFonts w:hint="eastAsia" w:ascii="仿宋" w:hAnsi="仿宋" w:eastAsia="仿宋" w:cs="仿宋"/>
          <w:b w:val="0"/>
          <w:bCs w:val="0"/>
          <w:color w:val="auto"/>
          <w:sz w:val="24"/>
          <w:szCs w:val="24"/>
          <w:highlight w:val="none"/>
          <w:lang w:eastAsia="zh-CN"/>
        </w:rPr>
        <w:t>不限于</w:t>
      </w:r>
      <w:r>
        <w:rPr>
          <w:rFonts w:hint="eastAsia" w:ascii="仿宋" w:hAnsi="仿宋" w:eastAsia="仿宋" w:cs="仿宋"/>
          <w:b w:val="0"/>
          <w:bCs w:val="0"/>
          <w:color w:val="auto"/>
          <w:sz w:val="24"/>
          <w:szCs w:val="24"/>
          <w:highlight w:val="none"/>
          <w:lang w:val="en-US" w:eastAsia="zh-CN"/>
        </w:rPr>
        <w:t>公共卫生</w:t>
      </w:r>
      <w:r>
        <w:rPr>
          <w:rFonts w:hint="eastAsia" w:ascii="仿宋" w:hAnsi="仿宋" w:eastAsia="仿宋" w:cs="仿宋"/>
          <w:b w:val="0"/>
          <w:bCs w:val="0"/>
          <w:color w:val="auto"/>
          <w:sz w:val="24"/>
          <w:szCs w:val="24"/>
          <w:highlight w:val="none"/>
          <w:lang w:eastAsia="zh-CN"/>
        </w:rPr>
        <w:t>物资、</w:t>
      </w:r>
      <w:r>
        <w:rPr>
          <w:rFonts w:hint="eastAsia" w:ascii="仿宋" w:hAnsi="仿宋" w:eastAsia="仿宋" w:cs="仿宋"/>
          <w:b w:val="0"/>
          <w:bCs w:val="0"/>
          <w:color w:val="auto"/>
          <w:sz w:val="24"/>
          <w:szCs w:val="24"/>
          <w:highlight w:val="none"/>
          <w:lang w:val="en-US" w:eastAsia="zh-CN"/>
        </w:rPr>
        <w:t>劳动保护</w:t>
      </w:r>
      <w:r>
        <w:rPr>
          <w:rFonts w:hint="eastAsia" w:ascii="仿宋" w:hAnsi="仿宋" w:eastAsia="仿宋" w:cs="仿宋"/>
          <w:b w:val="0"/>
          <w:bCs w:val="0"/>
          <w:color w:val="auto"/>
          <w:sz w:val="24"/>
          <w:szCs w:val="24"/>
          <w:highlight w:val="none"/>
          <w:lang w:eastAsia="zh-CN"/>
        </w:rPr>
        <w:t>用品）。乙方员工与乙方发生的一切劳动纠纷及其他纠纷乙方必须妥善处理，与甲方无任何关系，甲方不参与任何乙方与员工之间的纠纷。</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乙方不得以甲方的名义从事任何经济活动。乙方发生的一切债权、债务与甲方无关。</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乙方必须确保为甲方提供优质、高效的专业服务，甲方有权要求乙方改变不满意的服务状况。</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乙方应向员工提供培训，保证员工具备业务能力，满足甲方的要求。</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乙方原因造成的设施、设备损坏或服务质量不达标，甲方将书面通知乙方修复或整改，在书面通知下达一周后，仍未按要求修复或整改，甲方将负责完成，所产生的费用全部由乙方承担。</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乙方人员不得在</w:t>
      </w:r>
      <w:r>
        <w:rPr>
          <w:rFonts w:hint="eastAsia" w:ascii="仿宋" w:hAnsi="仿宋" w:eastAsia="仿宋" w:cs="仿宋"/>
          <w:b w:val="0"/>
          <w:bCs w:val="0"/>
          <w:color w:val="auto"/>
          <w:sz w:val="24"/>
          <w:szCs w:val="24"/>
          <w:highlight w:val="none"/>
          <w:lang w:val="en-US" w:eastAsia="zh-CN"/>
        </w:rPr>
        <w:t>服务区域</w:t>
      </w:r>
      <w:r>
        <w:rPr>
          <w:rFonts w:hint="eastAsia" w:ascii="仿宋" w:hAnsi="仿宋" w:eastAsia="仿宋" w:cs="仿宋"/>
          <w:b w:val="0"/>
          <w:bCs w:val="0"/>
          <w:color w:val="auto"/>
          <w:sz w:val="24"/>
          <w:szCs w:val="24"/>
          <w:highlight w:val="none"/>
          <w:lang w:eastAsia="zh-CN"/>
        </w:rPr>
        <w:t>从事非法活动，不允许在服务区域对甲方或其他经营单位、旅客进行滋扰性的行为。</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除经甲方批准进行必要的维修外，乙方不得损毁服务区域原有的设施和装潢，不得更改已铺设的电缆、电线或电力装置。</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未获甲方书面同意，乙方任何时候都不能在服务区域存放易燃物品、挥发性大或气味浓烈的液体、</w:t>
      </w:r>
      <w:r>
        <w:rPr>
          <w:rFonts w:hint="eastAsia" w:ascii="仿宋" w:hAnsi="仿宋" w:eastAsia="仿宋" w:cs="仿宋"/>
          <w:b w:val="0"/>
          <w:bCs w:val="0"/>
          <w:color w:val="auto"/>
          <w:sz w:val="24"/>
          <w:szCs w:val="24"/>
          <w:highlight w:val="none"/>
          <w:lang w:val="en-US" w:eastAsia="zh-CN"/>
        </w:rPr>
        <w:t>气体</w:t>
      </w:r>
      <w:r>
        <w:rPr>
          <w:rFonts w:hint="eastAsia" w:ascii="仿宋" w:hAnsi="仿宋" w:eastAsia="仿宋" w:cs="仿宋"/>
          <w:b w:val="0"/>
          <w:bCs w:val="0"/>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乙方或与其有关的公司，不得从事有损甲方或其他承包人利益的活动。</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遇突发事件（包含不限国家公共卫生突发事件）或安全检查时，乙方必须完全配合机场相关部门工作。</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乙方应严格遵守《附件8：安全生产协议》的要求，落实安全生产管理职责。</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未经甲方书面同意，乙方不得将本合同项下的权利和义务转让给任何第三方。</w:t>
      </w:r>
    </w:p>
    <w:p>
      <w:pPr>
        <w:numPr>
          <w:ilvl w:val="0"/>
          <w:numId w:val="2"/>
        </w:numPr>
        <w:spacing w:line="240" w:lineRule="auto"/>
        <w:ind w:left="425" w:hanging="42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廉政责任</w:t>
      </w:r>
    </w:p>
    <w:p>
      <w:pPr>
        <w:numPr>
          <w:ilvl w:val="1"/>
          <w:numId w:val="2"/>
        </w:numPr>
        <w:spacing w:line="240" w:lineRule="auto"/>
        <w:ind w:left="0" w:firstLine="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仿宋" w:hAnsi="仿宋" w:eastAsia="仿宋" w:cs="仿宋"/>
          <w:color w:val="auto"/>
          <w:sz w:val="24"/>
          <w:szCs w:val="24"/>
          <w:highlight w:val="none"/>
          <w:lang w:eastAsia="zh-CN"/>
        </w:rPr>
        <w:t>服务项目</w:t>
      </w:r>
      <w:r>
        <w:rPr>
          <w:rFonts w:hint="eastAsia" w:ascii="仿宋" w:hAnsi="仿宋" w:eastAsia="仿宋" w:cs="仿宋"/>
          <w:color w:val="auto"/>
          <w:sz w:val="24"/>
          <w:szCs w:val="24"/>
          <w:highlight w:val="none"/>
        </w:rPr>
        <w:t>管理的规章制度。</w:t>
      </w:r>
    </w:p>
    <w:p>
      <w:pPr>
        <w:numPr>
          <w:ilvl w:val="1"/>
          <w:numId w:val="2"/>
        </w:numPr>
        <w:spacing w:line="240" w:lineRule="auto"/>
        <w:ind w:left="0" w:firstLine="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发现对方在业务活动中有违规、违纪、违法行为的，应及时提醒对方，情节严重的，应向其上级主管部门或纪检监察、司法等有关机关举报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依据有关法律法规和规定给予党纪、政</w:t>
      </w:r>
      <w:r>
        <w:rPr>
          <w:rFonts w:hint="eastAsia" w:ascii="仿宋" w:hAnsi="仿宋" w:eastAsia="仿宋" w:cs="仿宋"/>
          <w:color w:val="auto"/>
          <w:sz w:val="24"/>
          <w:szCs w:val="24"/>
          <w:highlight w:val="none"/>
          <w:lang w:eastAsia="zh-CN"/>
        </w:rPr>
        <w:t>务</w:t>
      </w:r>
      <w:r>
        <w:rPr>
          <w:rFonts w:hint="eastAsia" w:ascii="仿宋" w:hAnsi="仿宋" w:eastAsia="仿宋" w:cs="仿宋"/>
          <w:color w:val="auto"/>
          <w:sz w:val="24"/>
          <w:szCs w:val="24"/>
          <w:highlight w:val="none"/>
        </w:rPr>
        <w:t>处分或组织处理；涉嫌犯罪的，移交司法机关追究刑事责任；给</w:t>
      </w:r>
      <w:r>
        <w:rPr>
          <w:rFonts w:hint="eastAsia" w:ascii="仿宋" w:hAnsi="仿宋" w:eastAsia="仿宋" w:cs="仿宋"/>
          <w:color w:val="auto"/>
          <w:sz w:val="24"/>
          <w:szCs w:val="24"/>
          <w:highlight w:val="none"/>
          <w:lang w:eastAsia="zh-CN"/>
        </w:rPr>
        <w:t>对方</w:t>
      </w:r>
      <w:r>
        <w:rPr>
          <w:rFonts w:hint="eastAsia" w:ascii="仿宋" w:hAnsi="仿宋" w:eastAsia="仿宋" w:cs="仿宋"/>
          <w:color w:val="auto"/>
          <w:sz w:val="24"/>
          <w:szCs w:val="24"/>
          <w:highlight w:val="none"/>
        </w:rPr>
        <w:t>造成经济损失的，应予以赔偿。</w:t>
      </w:r>
    </w:p>
    <w:p>
      <w:pPr>
        <w:numPr>
          <w:ilvl w:val="1"/>
          <w:numId w:val="2"/>
        </w:numPr>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违约责任</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在本合同履行期间，因为甲方过错而终止或解除协议的，按照乙方已进行的实际工作量向乙方支付费用。</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若乙方未按本合同约定的时间履行义务的，自逾期之日起，每日应按合同总金额的【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】支付违约金。</w:t>
      </w:r>
      <w:r>
        <w:rPr>
          <w:rFonts w:hint="eastAsia" w:ascii="仿宋" w:hAnsi="仿宋" w:eastAsia="仿宋" w:cs="仿宋"/>
          <w:color w:val="auto"/>
          <w:sz w:val="24"/>
          <w:szCs w:val="24"/>
          <w:highlight w:val="none"/>
          <w:lang w:val="en-US" w:eastAsia="zh-CN"/>
        </w:rPr>
        <w:t>逾期</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】日的，甲方有权选择解除合同，要求乙方返还已支付的费用，并按照合同约定价款的【20%】承担违约责任，同时赔偿因此给甲方造成的全部损失。</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因乙方</w:t>
      </w:r>
      <w:r>
        <w:rPr>
          <w:rFonts w:hint="eastAsia" w:ascii="仿宋" w:hAnsi="仿宋" w:eastAsia="仿宋" w:cs="仿宋"/>
          <w:color w:val="auto"/>
          <w:sz w:val="24"/>
          <w:szCs w:val="24"/>
          <w:highlight w:val="none"/>
          <w:lang w:val="en-US" w:eastAsia="zh-CN"/>
        </w:rPr>
        <w:t>管理以及</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作业</w:t>
      </w:r>
      <w:r>
        <w:rPr>
          <w:rFonts w:hint="eastAsia" w:ascii="仿宋" w:hAnsi="仿宋" w:eastAsia="仿宋" w:cs="仿宋"/>
          <w:color w:val="auto"/>
          <w:sz w:val="24"/>
          <w:szCs w:val="24"/>
          <w:highlight w:val="none"/>
        </w:rPr>
        <w:t>错误造成甲方损失的，乙方除负责采取补救措施外，应免收受损失部分的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费，并赔偿甲方因此遭受的损失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如乙方违反法律法规的，</w:t>
      </w:r>
      <w:r>
        <w:rPr>
          <w:rFonts w:hint="eastAsia" w:ascii="仿宋" w:hAnsi="仿宋" w:eastAsia="仿宋" w:cs="仿宋"/>
          <w:color w:val="auto"/>
          <w:sz w:val="24"/>
          <w:szCs w:val="24"/>
          <w:highlight w:val="none"/>
        </w:rPr>
        <w:t>还需承担国家规定的相关法律责任。</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乙方违反廉政责任，甲方可立即</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lang w:eastAsia="zh-CN"/>
        </w:rPr>
        <w:t>合同，乙方及相关人员除承担法律和经济责任外，并终身不得进入甲方市场。</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项目负责人与投标文件承诺不符的，在规定时间（</w:t>
      </w:r>
      <w:r>
        <w:rPr>
          <w:rFonts w:hint="eastAsia" w:ascii="仿宋" w:hAnsi="仿宋" w:eastAsia="仿宋" w:cs="仿宋"/>
          <w:color w:val="auto"/>
          <w:sz w:val="24"/>
          <w:szCs w:val="24"/>
          <w:highlight w:val="none"/>
          <w:lang w:val="en-US" w:eastAsia="zh-CN"/>
        </w:rPr>
        <w:t>20个工作日</w:t>
      </w:r>
      <w:r>
        <w:rPr>
          <w:rFonts w:hint="eastAsia" w:ascii="仿宋" w:hAnsi="仿宋" w:eastAsia="仿宋" w:cs="仿宋"/>
          <w:color w:val="auto"/>
          <w:sz w:val="24"/>
          <w:szCs w:val="24"/>
          <w:highlight w:val="none"/>
        </w:rPr>
        <w:t>内）没有整改的，乙方向甲方交纳合同价的5%违约金；乙方申请项目负责人更换的，必须符合招标文件中项目负责人的要求，甲方同意更换并</w:t>
      </w:r>
      <w:r>
        <w:rPr>
          <w:rFonts w:hint="eastAsia" w:ascii="仿宋" w:hAnsi="仿宋" w:eastAsia="仿宋" w:cs="仿宋"/>
          <w:color w:val="auto"/>
          <w:sz w:val="24"/>
          <w:szCs w:val="24"/>
          <w:highlight w:val="none"/>
          <w:lang w:eastAsia="zh-CN"/>
        </w:rPr>
        <w:t>扣除</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%的违约金；</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合同的解除</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合同生效后，即具有法律约束力，任何一方不得随意变更或解除</w:t>
      </w:r>
      <w:r>
        <w:rPr>
          <w:rFonts w:hint="eastAsia" w:ascii="仿宋" w:hAnsi="仿宋" w:eastAsia="仿宋" w:cs="仿宋"/>
          <w:color w:val="auto"/>
          <w:sz w:val="24"/>
          <w:szCs w:val="24"/>
          <w:highlight w:val="none"/>
          <w:lang w:eastAsia="zh-CN"/>
        </w:rPr>
        <w:t>。</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有下列情形之一，合同一方可以解除合同：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双方协商一致，达成书面协议解除合同；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因合同一方迟延履行主要债务，经催告后在合理期限内仍未履行，另一方有权解除合同；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因合同一方违约导致合同不能履行的，另一方有权解除合同；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因不可抗力致使不能实现合同目的，未受不可抗力影响的一方有权解除合同；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法律规定的其他解除合同的情形。</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发生下列情形之一的，</w:t>
      </w:r>
      <w:r>
        <w:rPr>
          <w:rFonts w:hint="eastAsia" w:ascii="仿宋" w:hAnsi="仿宋" w:eastAsia="仿宋" w:cs="仿宋"/>
          <w:color w:val="auto"/>
          <w:sz w:val="24"/>
          <w:szCs w:val="24"/>
          <w:highlight w:val="none"/>
          <w:lang w:val="en-US" w:eastAsia="zh-CN"/>
        </w:rPr>
        <w:t>甲方有权无责解除</w:t>
      </w:r>
      <w:r>
        <w:rPr>
          <w:rFonts w:hint="eastAsia" w:ascii="仿宋" w:hAnsi="仿宋" w:eastAsia="仿宋" w:cs="仿宋"/>
          <w:color w:val="auto"/>
          <w:sz w:val="24"/>
          <w:szCs w:val="24"/>
          <w:highlight w:val="none"/>
        </w:rPr>
        <w:t>合同并扣除履约保证金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乙方不能达到进场要求的；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乙方项目负责人与投标文件承诺不符的，二次通知整改不能到位或不符合要求的；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乙方项目团队与投标文件承诺不符的，二次通知整改不能到位或不符合要求的；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乙方工作人员与投标文件承诺不符的，二次通知整改不能到位或不符合要求的；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color w:val="auto"/>
          <w:sz w:val="24"/>
          <w:szCs w:val="24"/>
          <w:highlight w:val="none"/>
          <w:lang w:val="en-US" w:eastAsia="zh-CN"/>
        </w:rPr>
        <w:t>在合同每段服务期内（12个月）考核不合格次数累计达到2次的</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因乙方原因发生社会性恶性事件，对甲方造成严重影响的；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项目负责人和团队人员变更，二次未通知甲方的；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使用二手配件或第三方配件冒充原厂原装配件的，发生二次以上的；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乙方没有能力按合同要求履约。</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rPr>
        <w:t>有权解除合同的一方，应当在违约事实或不可抗力发生之后三十天内书面通知</w:t>
      </w:r>
      <w:r>
        <w:rPr>
          <w:rFonts w:hint="eastAsia" w:ascii="仿宋" w:hAnsi="仿宋" w:eastAsia="仿宋" w:cs="仿宋"/>
          <w:b w:val="0"/>
          <w:bCs w:val="0"/>
          <w:sz w:val="24"/>
          <w:szCs w:val="24"/>
          <w:highlight w:val="none"/>
        </w:rPr>
        <w:t>对方以主张解除合同，合同在书面通知到达对方时解除。</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不可抗力</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因不可抗力不能履行合同的，根据不可抗力的影响，部分或者全部免除责任。但合同一方延迟履行后发生不可抗力的，不能免除责任。</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合同一方因不可抗力不能履行合同的，应当及时通知对方，以减轻可能给对方造成的损失，并应当在合理期限内提供证明。</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争议解决办法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合同生效及其他</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本合同经双方法定（授权）代表人签字（或盖章）并盖单位公章（合同章）后生效。</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下列文件为本合同不可分割部分：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本合同及其补充合同、变更协议；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甲方招标文件；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乙方的响应文件；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乙方在招投标过程中所作的其他承诺、声明、书面澄清等；</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与服务项目</w:t>
      </w:r>
      <w:r>
        <w:rPr>
          <w:rFonts w:hint="eastAsia" w:ascii="仿宋" w:hAnsi="仿宋" w:eastAsia="仿宋" w:cs="仿宋"/>
          <w:b w:val="0"/>
          <w:bCs w:val="0"/>
          <w:sz w:val="24"/>
          <w:szCs w:val="24"/>
          <w:highlight w:val="none"/>
        </w:rPr>
        <w:t>相关配套资料</w:t>
      </w:r>
      <w:r>
        <w:rPr>
          <w:rFonts w:hint="eastAsia" w:ascii="仿宋" w:hAnsi="仿宋" w:eastAsia="仿宋" w:cs="仿宋"/>
          <w:b w:val="0"/>
          <w:bCs w:val="0"/>
          <w:sz w:val="24"/>
          <w:szCs w:val="24"/>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《附件1：旅客登机桥设备清单》；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《附件2：旅客登机桥维保服务要求》；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《附件3：旅客登机桥零配件清单》；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《附件4：旅客登机桥备品备件清单》；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《附件5：旅客登机桥维保考核表》；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《附件6：安全生产协议》；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《附件7：服务验收交接单》；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其他相关文件。</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本合同一式</w:t>
      </w:r>
      <w:r>
        <w:rPr>
          <w:rFonts w:hint="eastAsia" w:ascii="仿宋" w:hAnsi="仿宋" w:eastAsia="仿宋" w:cs="仿宋"/>
          <w:b w:val="0"/>
          <w:bCs w:val="0"/>
          <w:sz w:val="24"/>
          <w:szCs w:val="24"/>
          <w:highlight w:val="none"/>
          <w:u w:val="none"/>
          <w:lang w:eastAsia="zh-CN"/>
        </w:rPr>
        <w:t>【肆】</w:t>
      </w:r>
      <w:r>
        <w:rPr>
          <w:rFonts w:hint="eastAsia" w:ascii="仿宋" w:hAnsi="仿宋" w:eastAsia="仿宋" w:cs="仿宋"/>
          <w:b w:val="0"/>
          <w:bCs w:val="0"/>
          <w:sz w:val="24"/>
          <w:szCs w:val="24"/>
          <w:highlight w:val="none"/>
        </w:rPr>
        <w:t>份，甲</w:t>
      </w:r>
      <w:r>
        <w:rPr>
          <w:rFonts w:hint="eastAsia" w:ascii="仿宋" w:hAnsi="仿宋" w:eastAsia="仿宋" w:cs="仿宋"/>
          <w:b w:val="0"/>
          <w:bCs w:val="0"/>
          <w:sz w:val="24"/>
          <w:szCs w:val="24"/>
          <w:highlight w:val="none"/>
          <w:lang w:eastAsia="zh-CN"/>
        </w:rPr>
        <w:t>方执【叁】份</w:t>
      </w:r>
      <w:r>
        <w:rPr>
          <w:rFonts w:hint="eastAsia" w:ascii="仿宋" w:hAnsi="仿宋" w:eastAsia="仿宋" w:cs="仿宋"/>
          <w:b w:val="0"/>
          <w:bCs w:val="0"/>
          <w:sz w:val="24"/>
          <w:szCs w:val="24"/>
          <w:highlight w:val="none"/>
        </w:rPr>
        <w:t>、乙方执</w:t>
      </w:r>
      <w:r>
        <w:rPr>
          <w:rFonts w:hint="eastAsia" w:ascii="仿宋" w:hAnsi="仿宋" w:eastAsia="仿宋" w:cs="仿宋"/>
          <w:b w:val="0"/>
          <w:bCs w:val="0"/>
          <w:sz w:val="24"/>
          <w:szCs w:val="24"/>
          <w:highlight w:val="none"/>
          <w:lang w:val="en-US" w:eastAsia="zh-CN"/>
        </w:rPr>
        <w:t>壹</w:t>
      </w:r>
      <w:r>
        <w:rPr>
          <w:rFonts w:hint="eastAsia" w:ascii="仿宋" w:hAnsi="仿宋" w:eastAsia="仿宋" w:cs="仿宋"/>
          <w:b w:val="0"/>
          <w:bCs w:val="0"/>
          <w:sz w:val="24"/>
          <w:szCs w:val="24"/>
          <w:highlight w:val="none"/>
        </w:rPr>
        <w:t>份</w:t>
      </w:r>
      <w:r>
        <w:rPr>
          <w:rFonts w:hint="eastAsia" w:ascii="仿宋" w:hAnsi="仿宋" w:eastAsia="仿宋" w:cs="仿宋"/>
          <w:b w:val="0"/>
          <w:bCs w:val="0"/>
          <w:sz w:val="24"/>
          <w:szCs w:val="24"/>
          <w:highlight w:val="none"/>
          <w:lang w:eastAsia="zh-CN"/>
        </w:rPr>
        <w:t>，每份具有同等效力。</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（以下无正文，为签字</w:t>
      </w:r>
      <w:r>
        <w:rPr>
          <w:rFonts w:hint="eastAsia" w:ascii="仿宋" w:hAnsi="仿宋" w:eastAsia="仿宋" w:cs="仿宋"/>
          <w:b w:val="0"/>
          <w:bCs w:val="0"/>
          <w:sz w:val="24"/>
          <w:szCs w:val="24"/>
          <w:highlight w:val="none"/>
          <w:lang w:val="en-US" w:eastAsia="zh-CN"/>
        </w:rPr>
        <w:t>盖章</w:t>
      </w:r>
      <w:r>
        <w:rPr>
          <w:rFonts w:hint="eastAsia" w:ascii="仿宋" w:hAnsi="仿宋" w:eastAsia="仿宋" w:cs="仿宋"/>
          <w:b w:val="0"/>
          <w:bCs w:val="0"/>
          <w:sz w:val="24"/>
          <w:szCs w:val="24"/>
          <w:highlight w:val="none"/>
          <w:lang w:eastAsia="zh-CN"/>
        </w:rPr>
        <w:t>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b/>
          <w:bCs/>
          <w:sz w:val="24"/>
          <w:szCs w:val="24"/>
          <w:highlight w:val="none"/>
        </w:rPr>
      </w:pPr>
    </w:p>
    <w:tbl>
      <w:tblPr>
        <w:tblStyle w:val="12"/>
        <w:tblW w:w="8411" w:type="dxa"/>
        <w:tblInd w:w="0" w:type="dxa"/>
        <w:tblLayout w:type="fixed"/>
        <w:tblCellMar>
          <w:top w:w="0" w:type="dxa"/>
          <w:left w:w="108" w:type="dxa"/>
          <w:bottom w:w="0" w:type="dxa"/>
          <w:right w:w="108" w:type="dxa"/>
        </w:tblCellMar>
      </w:tblPr>
      <w:tblGrid>
        <w:gridCol w:w="4149"/>
        <w:gridCol w:w="4262"/>
      </w:tblGrid>
      <w:tr>
        <w:tblPrEx>
          <w:tblCellMar>
            <w:top w:w="0" w:type="dxa"/>
            <w:left w:w="108" w:type="dxa"/>
            <w:bottom w:w="0" w:type="dxa"/>
            <w:right w:w="108" w:type="dxa"/>
          </w:tblCellMar>
        </w:tblPrEx>
        <w:trPr>
          <w:trHeight w:val="1233"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w:t>
            </w:r>
            <w:r>
              <w:rPr>
                <w:rFonts w:hint="eastAsia" w:ascii="仿宋" w:hAnsi="仿宋" w:eastAsia="仿宋" w:cs="仿宋"/>
                <w:sz w:val="24"/>
                <w:szCs w:val="24"/>
                <w:highlight w:val="none"/>
                <w:lang w:val="en-US" w:eastAsia="zh-CN"/>
              </w:rPr>
              <w:t xml:space="preserve"> </w:t>
            </w: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乙方（盖章）：</w:t>
            </w: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代理人（签字）：</w:t>
            </w: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代理人（签字）：</w:t>
            </w: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tc>
      </w:tr>
    </w:tbl>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br w:type="page"/>
      </w:r>
    </w:p>
    <w:tbl>
      <w:tblPr>
        <w:tblStyle w:val="12"/>
        <w:tblW w:w="8361" w:type="dxa"/>
        <w:jc w:val="center"/>
        <w:tblLayout w:type="fixed"/>
        <w:tblCellMar>
          <w:top w:w="0" w:type="dxa"/>
          <w:left w:w="0" w:type="dxa"/>
          <w:bottom w:w="0" w:type="dxa"/>
          <w:right w:w="0" w:type="dxa"/>
        </w:tblCellMar>
      </w:tblPr>
      <w:tblGrid>
        <w:gridCol w:w="1111"/>
        <w:gridCol w:w="1570"/>
        <w:gridCol w:w="1430"/>
        <w:gridCol w:w="1388"/>
        <w:gridCol w:w="1250"/>
        <w:gridCol w:w="1612"/>
      </w:tblGrid>
      <w:tr>
        <w:tblPrEx>
          <w:tblCellMar>
            <w:top w:w="0" w:type="dxa"/>
            <w:left w:w="0" w:type="dxa"/>
            <w:bottom w:w="0" w:type="dxa"/>
            <w:right w:w="0" w:type="dxa"/>
          </w:tblCellMar>
        </w:tblPrEx>
        <w:trPr>
          <w:trHeight w:val="80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附件9</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服务验收交接单</w:t>
            </w:r>
          </w:p>
        </w:tc>
      </w:tr>
      <w:tr>
        <w:tblPrEx>
          <w:tblCellMar>
            <w:top w:w="0" w:type="dxa"/>
            <w:left w:w="0" w:type="dxa"/>
            <w:bottom w:w="0" w:type="dxa"/>
            <w:right w:w="0" w:type="dxa"/>
          </w:tblCellMar>
        </w:tblPrEx>
        <w:trPr>
          <w:trHeight w:val="50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服务名称</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服务范围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其它</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37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服务质量</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知识产权</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文档资料</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106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72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3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2235"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供货负责人：</w:t>
            </w: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验收负责人：</w:t>
            </w: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其他格式请投标人自拟</w:t>
      </w: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34CB"/>
    <w:multiLevelType w:val="singleLevel"/>
    <w:tmpl w:val="8FD634CB"/>
    <w:lvl w:ilvl="0" w:tentative="0">
      <w:start w:val="1"/>
      <w:numFmt w:val="decimal"/>
      <w:suff w:val="space"/>
      <w:lvlText w:val="(%1)"/>
      <w:lvlJc w:val="left"/>
      <w:pPr>
        <w:ind w:left="425" w:hanging="425"/>
      </w:pPr>
      <w:rPr>
        <w:rFonts w:hint="default"/>
      </w:rPr>
    </w:lvl>
  </w:abstractNum>
  <w:abstractNum w:abstractNumId="1">
    <w:nsid w:val="A0E6366D"/>
    <w:multiLevelType w:val="singleLevel"/>
    <w:tmpl w:val="A0E6366D"/>
    <w:lvl w:ilvl="0" w:tentative="0">
      <w:start w:val="1"/>
      <w:numFmt w:val="decimal"/>
      <w:suff w:val="space"/>
      <w:lvlText w:val="(%1)"/>
      <w:lvlJc w:val="left"/>
      <w:pPr>
        <w:ind w:left="425" w:hanging="425"/>
      </w:pPr>
      <w:rPr>
        <w:rFonts w:hint="default"/>
      </w:rPr>
    </w:lvl>
  </w:abstractNum>
  <w:abstractNum w:abstractNumId="2">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3">
    <w:nsid w:val="0CCCD37F"/>
    <w:multiLevelType w:val="multilevel"/>
    <w:tmpl w:val="0CCCD37F"/>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49F05E88"/>
    <w:multiLevelType w:val="singleLevel"/>
    <w:tmpl w:val="49F05E88"/>
    <w:lvl w:ilvl="0" w:tentative="0">
      <w:start w:val="1"/>
      <w:numFmt w:val="decimal"/>
      <w:suff w:val="space"/>
      <w:lvlText w:val="(%1)"/>
      <w:lvlJc w:val="left"/>
      <w:pPr>
        <w:ind w:left="425" w:hanging="425"/>
      </w:pPr>
      <w:rPr>
        <w:rFonts w:hint="default"/>
      </w:rPr>
    </w:lvl>
  </w:abstractNum>
  <w:abstractNum w:abstractNumId="5">
    <w:nsid w:val="69F9E59A"/>
    <w:multiLevelType w:val="singleLevel"/>
    <w:tmpl w:val="69F9E59A"/>
    <w:lvl w:ilvl="0" w:tentative="0">
      <w:start w:val="1"/>
      <w:numFmt w:val="decimal"/>
      <w:suff w:val="nothing"/>
      <w:lvlText w:val="%1、"/>
      <w:lvlJc w:val="left"/>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DkwZDFmNmQ0ZDUwZjY5MmUzYmIxNmY2YWZiMmEifQ=="/>
    <w:docVar w:name="KSO_WPS_MARK_KEY" w:val="ee0fd590-042f-4665-8e7a-c557ee350418"/>
  </w:docVars>
  <w:rsids>
    <w:rsidRoot w:val="00172A27"/>
    <w:rsid w:val="0008345E"/>
    <w:rsid w:val="00111902"/>
    <w:rsid w:val="001200B3"/>
    <w:rsid w:val="001A1FEB"/>
    <w:rsid w:val="002130AC"/>
    <w:rsid w:val="002204E0"/>
    <w:rsid w:val="00255E4E"/>
    <w:rsid w:val="002E1F6F"/>
    <w:rsid w:val="002F0EE0"/>
    <w:rsid w:val="00396B74"/>
    <w:rsid w:val="00453493"/>
    <w:rsid w:val="00474EFA"/>
    <w:rsid w:val="00581F1E"/>
    <w:rsid w:val="005B143D"/>
    <w:rsid w:val="006066DE"/>
    <w:rsid w:val="00622FBD"/>
    <w:rsid w:val="006C353D"/>
    <w:rsid w:val="0073353E"/>
    <w:rsid w:val="007739C5"/>
    <w:rsid w:val="00851FBF"/>
    <w:rsid w:val="00892874"/>
    <w:rsid w:val="008A6284"/>
    <w:rsid w:val="009306E1"/>
    <w:rsid w:val="00B26763"/>
    <w:rsid w:val="00B577B3"/>
    <w:rsid w:val="00C44980"/>
    <w:rsid w:val="00CF2BFF"/>
    <w:rsid w:val="00E72B76"/>
    <w:rsid w:val="00ED2C5E"/>
    <w:rsid w:val="00F03E1B"/>
    <w:rsid w:val="016B7265"/>
    <w:rsid w:val="016C134C"/>
    <w:rsid w:val="016C45FF"/>
    <w:rsid w:val="01825480"/>
    <w:rsid w:val="018B2F58"/>
    <w:rsid w:val="018E2CD3"/>
    <w:rsid w:val="019F1E27"/>
    <w:rsid w:val="01A81734"/>
    <w:rsid w:val="01F035FE"/>
    <w:rsid w:val="021E5DAC"/>
    <w:rsid w:val="02452A80"/>
    <w:rsid w:val="02503CDD"/>
    <w:rsid w:val="027B2853"/>
    <w:rsid w:val="02B90149"/>
    <w:rsid w:val="02ED542A"/>
    <w:rsid w:val="034033BC"/>
    <w:rsid w:val="03604B36"/>
    <w:rsid w:val="03664F47"/>
    <w:rsid w:val="03707E50"/>
    <w:rsid w:val="039B3DC0"/>
    <w:rsid w:val="03A55D29"/>
    <w:rsid w:val="03AB1581"/>
    <w:rsid w:val="03E30677"/>
    <w:rsid w:val="03EC2AC9"/>
    <w:rsid w:val="03F57628"/>
    <w:rsid w:val="040B4BE5"/>
    <w:rsid w:val="042C3BE7"/>
    <w:rsid w:val="0436760C"/>
    <w:rsid w:val="048D057F"/>
    <w:rsid w:val="04B14F1D"/>
    <w:rsid w:val="04BB0ECF"/>
    <w:rsid w:val="04BF5968"/>
    <w:rsid w:val="04D806F1"/>
    <w:rsid w:val="04F67EDA"/>
    <w:rsid w:val="05127D9B"/>
    <w:rsid w:val="05485881"/>
    <w:rsid w:val="055F040A"/>
    <w:rsid w:val="057D7870"/>
    <w:rsid w:val="05986933"/>
    <w:rsid w:val="05AA5CEB"/>
    <w:rsid w:val="05AB1817"/>
    <w:rsid w:val="05AC34A3"/>
    <w:rsid w:val="05D70123"/>
    <w:rsid w:val="05D867DE"/>
    <w:rsid w:val="05F538A6"/>
    <w:rsid w:val="06165DB3"/>
    <w:rsid w:val="06A55F95"/>
    <w:rsid w:val="06DD319D"/>
    <w:rsid w:val="06EF5F68"/>
    <w:rsid w:val="06F15421"/>
    <w:rsid w:val="06F31C79"/>
    <w:rsid w:val="06FD7F2A"/>
    <w:rsid w:val="072009D1"/>
    <w:rsid w:val="07335311"/>
    <w:rsid w:val="073632D7"/>
    <w:rsid w:val="07773FFA"/>
    <w:rsid w:val="07B55DD7"/>
    <w:rsid w:val="07F97049"/>
    <w:rsid w:val="08057A5A"/>
    <w:rsid w:val="081B3791"/>
    <w:rsid w:val="082435B1"/>
    <w:rsid w:val="083A5139"/>
    <w:rsid w:val="085A7245"/>
    <w:rsid w:val="087462C8"/>
    <w:rsid w:val="089320A2"/>
    <w:rsid w:val="08961EE5"/>
    <w:rsid w:val="08967F92"/>
    <w:rsid w:val="08A57308"/>
    <w:rsid w:val="08BC4C68"/>
    <w:rsid w:val="08BD11CE"/>
    <w:rsid w:val="08D33DB3"/>
    <w:rsid w:val="09567FAE"/>
    <w:rsid w:val="09603FE9"/>
    <w:rsid w:val="096712B3"/>
    <w:rsid w:val="09792381"/>
    <w:rsid w:val="09935AA9"/>
    <w:rsid w:val="09980FA9"/>
    <w:rsid w:val="099A0FE2"/>
    <w:rsid w:val="09A022C8"/>
    <w:rsid w:val="09AA3386"/>
    <w:rsid w:val="09AB5F02"/>
    <w:rsid w:val="09B0502B"/>
    <w:rsid w:val="09B81341"/>
    <w:rsid w:val="09D07158"/>
    <w:rsid w:val="09E96D8F"/>
    <w:rsid w:val="0A625FD6"/>
    <w:rsid w:val="0A8F59CD"/>
    <w:rsid w:val="0A993EA5"/>
    <w:rsid w:val="0AA25AD7"/>
    <w:rsid w:val="0AB60E1C"/>
    <w:rsid w:val="0B2038D7"/>
    <w:rsid w:val="0B223E4B"/>
    <w:rsid w:val="0B355483"/>
    <w:rsid w:val="0B37068B"/>
    <w:rsid w:val="0B4311DB"/>
    <w:rsid w:val="0B5701FE"/>
    <w:rsid w:val="0B5747EB"/>
    <w:rsid w:val="0B6F4472"/>
    <w:rsid w:val="0B963D79"/>
    <w:rsid w:val="0C1D44B6"/>
    <w:rsid w:val="0C2820B4"/>
    <w:rsid w:val="0C2A3B99"/>
    <w:rsid w:val="0C4D4817"/>
    <w:rsid w:val="0C9F4A36"/>
    <w:rsid w:val="0D3B2168"/>
    <w:rsid w:val="0D3C783E"/>
    <w:rsid w:val="0D535678"/>
    <w:rsid w:val="0D592E44"/>
    <w:rsid w:val="0D5F6EAA"/>
    <w:rsid w:val="0D847672"/>
    <w:rsid w:val="0D8912B4"/>
    <w:rsid w:val="0D954572"/>
    <w:rsid w:val="0DB62EB8"/>
    <w:rsid w:val="0DBE7064"/>
    <w:rsid w:val="0DE52027"/>
    <w:rsid w:val="0DE80077"/>
    <w:rsid w:val="0DEC66D1"/>
    <w:rsid w:val="0DF012B3"/>
    <w:rsid w:val="0DF046E0"/>
    <w:rsid w:val="0E042312"/>
    <w:rsid w:val="0E1C0049"/>
    <w:rsid w:val="0E364301"/>
    <w:rsid w:val="0E4B6918"/>
    <w:rsid w:val="0E861A4B"/>
    <w:rsid w:val="0E9C0969"/>
    <w:rsid w:val="0EA17AC9"/>
    <w:rsid w:val="0EAA62DE"/>
    <w:rsid w:val="0EB262AF"/>
    <w:rsid w:val="0EC20845"/>
    <w:rsid w:val="0EC817D4"/>
    <w:rsid w:val="0EE0169F"/>
    <w:rsid w:val="0EF304B1"/>
    <w:rsid w:val="0F0D5BAF"/>
    <w:rsid w:val="0F514485"/>
    <w:rsid w:val="0F6920DE"/>
    <w:rsid w:val="0FA91612"/>
    <w:rsid w:val="0FB02475"/>
    <w:rsid w:val="0FB81978"/>
    <w:rsid w:val="10064501"/>
    <w:rsid w:val="10222B14"/>
    <w:rsid w:val="102977C5"/>
    <w:rsid w:val="10401D00"/>
    <w:rsid w:val="10496136"/>
    <w:rsid w:val="10525425"/>
    <w:rsid w:val="105A3863"/>
    <w:rsid w:val="107437F2"/>
    <w:rsid w:val="10C209E9"/>
    <w:rsid w:val="10FA6781"/>
    <w:rsid w:val="11801150"/>
    <w:rsid w:val="118131C4"/>
    <w:rsid w:val="11A057AB"/>
    <w:rsid w:val="11A104B0"/>
    <w:rsid w:val="11A405D2"/>
    <w:rsid w:val="11B4220B"/>
    <w:rsid w:val="11C253E9"/>
    <w:rsid w:val="11E96F31"/>
    <w:rsid w:val="124613AB"/>
    <w:rsid w:val="128A1103"/>
    <w:rsid w:val="128E1487"/>
    <w:rsid w:val="12A811B1"/>
    <w:rsid w:val="12C037F8"/>
    <w:rsid w:val="130050D2"/>
    <w:rsid w:val="13296D3D"/>
    <w:rsid w:val="13570FCD"/>
    <w:rsid w:val="135C6750"/>
    <w:rsid w:val="136F4C00"/>
    <w:rsid w:val="1396190E"/>
    <w:rsid w:val="13A92153"/>
    <w:rsid w:val="13BD085F"/>
    <w:rsid w:val="13CE6B07"/>
    <w:rsid w:val="13E7095B"/>
    <w:rsid w:val="13F41962"/>
    <w:rsid w:val="143B4581"/>
    <w:rsid w:val="14681327"/>
    <w:rsid w:val="1489201A"/>
    <w:rsid w:val="14977342"/>
    <w:rsid w:val="14A31D04"/>
    <w:rsid w:val="14AE3782"/>
    <w:rsid w:val="14CE3C58"/>
    <w:rsid w:val="14D72BC3"/>
    <w:rsid w:val="14D74F8B"/>
    <w:rsid w:val="14E80BD3"/>
    <w:rsid w:val="15113E37"/>
    <w:rsid w:val="151B560D"/>
    <w:rsid w:val="1554430B"/>
    <w:rsid w:val="155E7F5C"/>
    <w:rsid w:val="15624A28"/>
    <w:rsid w:val="15683073"/>
    <w:rsid w:val="158F2199"/>
    <w:rsid w:val="1598706A"/>
    <w:rsid w:val="15A61F4E"/>
    <w:rsid w:val="15A765F4"/>
    <w:rsid w:val="15AA12E1"/>
    <w:rsid w:val="15C51DBE"/>
    <w:rsid w:val="15FB2DB1"/>
    <w:rsid w:val="15FC034E"/>
    <w:rsid w:val="16001948"/>
    <w:rsid w:val="162D28E3"/>
    <w:rsid w:val="16341C74"/>
    <w:rsid w:val="163F7F8B"/>
    <w:rsid w:val="168E0CA6"/>
    <w:rsid w:val="169D40FB"/>
    <w:rsid w:val="16A72E8E"/>
    <w:rsid w:val="16BD40AF"/>
    <w:rsid w:val="17101BA4"/>
    <w:rsid w:val="17382935"/>
    <w:rsid w:val="174D290F"/>
    <w:rsid w:val="175721D0"/>
    <w:rsid w:val="177B0B01"/>
    <w:rsid w:val="177D6D3E"/>
    <w:rsid w:val="178E1904"/>
    <w:rsid w:val="17C8690D"/>
    <w:rsid w:val="17DD6218"/>
    <w:rsid w:val="1805697F"/>
    <w:rsid w:val="18383533"/>
    <w:rsid w:val="184A6ABB"/>
    <w:rsid w:val="18590763"/>
    <w:rsid w:val="187C02A5"/>
    <w:rsid w:val="188063E9"/>
    <w:rsid w:val="18856BD5"/>
    <w:rsid w:val="189735F0"/>
    <w:rsid w:val="18A931A2"/>
    <w:rsid w:val="18C179CD"/>
    <w:rsid w:val="18C4061C"/>
    <w:rsid w:val="18DF2A3E"/>
    <w:rsid w:val="190430CD"/>
    <w:rsid w:val="19151BD5"/>
    <w:rsid w:val="19184DBC"/>
    <w:rsid w:val="199C6C21"/>
    <w:rsid w:val="199D16BF"/>
    <w:rsid w:val="19A37076"/>
    <w:rsid w:val="19A431EF"/>
    <w:rsid w:val="19B36B4C"/>
    <w:rsid w:val="19BB19D9"/>
    <w:rsid w:val="19DF3841"/>
    <w:rsid w:val="19F46497"/>
    <w:rsid w:val="1A450189"/>
    <w:rsid w:val="1A536A3A"/>
    <w:rsid w:val="1A5D05F3"/>
    <w:rsid w:val="1A625535"/>
    <w:rsid w:val="1A7422F2"/>
    <w:rsid w:val="1AAF5F88"/>
    <w:rsid w:val="1ABC075B"/>
    <w:rsid w:val="1ADF0F14"/>
    <w:rsid w:val="1AE024C4"/>
    <w:rsid w:val="1B2D23D7"/>
    <w:rsid w:val="1B870FC6"/>
    <w:rsid w:val="1BAB29C2"/>
    <w:rsid w:val="1BF87A7E"/>
    <w:rsid w:val="1C1D0312"/>
    <w:rsid w:val="1C211544"/>
    <w:rsid w:val="1C4050AC"/>
    <w:rsid w:val="1C4469A1"/>
    <w:rsid w:val="1C8326ED"/>
    <w:rsid w:val="1C8B685B"/>
    <w:rsid w:val="1CA4295A"/>
    <w:rsid w:val="1CF667C4"/>
    <w:rsid w:val="1D01710F"/>
    <w:rsid w:val="1D0B05FC"/>
    <w:rsid w:val="1D1374CF"/>
    <w:rsid w:val="1D257E67"/>
    <w:rsid w:val="1D304122"/>
    <w:rsid w:val="1D394DC7"/>
    <w:rsid w:val="1D501F40"/>
    <w:rsid w:val="1D52596F"/>
    <w:rsid w:val="1DBD3E67"/>
    <w:rsid w:val="1DC21A98"/>
    <w:rsid w:val="1DDA51F5"/>
    <w:rsid w:val="1DEA7BFF"/>
    <w:rsid w:val="1DFC68C2"/>
    <w:rsid w:val="1E556FB2"/>
    <w:rsid w:val="1E5B7836"/>
    <w:rsid w:val="1E707ECB"/>
    <w:rsid w:val="1E7B7F46"/>
    <w:rsid w:val="1E936804"/>
    <w:rsid w:val="1EBB64E3"/>
    <w:rsid w:val="1EC316F2"/>
    <w:rsid w:val="1EE52701"/>
    <w:rsid w:val="1EEA352A"/>
    <w:rsid w:val="1EF03628"/>
    <w:rsid w:val="1EF22584"/>
    <w:rsid w:val="1F0A3AE9"/>
    <w:rsid w:val="1F2E203E"/>
    <w:rsid w:val="1F7143C4"/>
    <w:rsid w:val="1F7F224B"/>
    <w:rsid w:val="1FB36EC6"/>
    <w:rsid w:val="1FC63231"/>
    <w:rsid w:val="1FE25E1C"/>
    <w:rsid w:val="1FF3680E"/>
    <w:rsid w:val="1FFD3B4B"/>
    <w:rsid w:val="201254A0"/>
    <w:rsid w:val="20141512"/>
    <w:rsid w:val="20363613"/>
    <w:rsid w:val="203F540A"/>
    <w:rsid w:val="20564DA9"/>
    <w:rsid w:val="20613C25"/>
    <w:rsid w:val="20641740"/>
    <w:rsid w:val="207A4A86"/>
    <w:rsid w:val="20D65A87"/>
    <w:rsid w:val="21154448"/>
    <w:rsid w:val="212C2F35"/>
    <w:rsid w:val="213E658D"/>
    <w:rsid w:val="214A7396"/>
    <w:rsid w:val="215D04AF"/>
    <w:rsid w:val="215D6F65"/>
    <w:rsid w:val="217F5229"/>
    <w:rsid w:val="21A94D09"/>
    <w:rsid w:val="21B459C5"/>
    <w:rsid w:val="21C83F05"/>
    <w:rsid w:val="22176EC8"/>
    <w:rsid w:val="22353FFA"/>
    <w:rsid w:val="224F4A4A"/>
    <w:rsid w:val="22981809"/>
    <w:rsid w:val="22A8719B"/>
    <w:rsid w:val="22E32865"/>
    <w:rsid w:val="22ED4B44"/>
    <w:rsid w:val="230A4FC7"/>
    <w:rsid w:val="23282002"/>
    <w:rsid w:val="233153CF"/>
    <w:rsid w:val="237B7B6A"/>
    <w:rsid w:val="23942508"/>
    <w:rsid w:val="23AD7607"/>
    <w:rsid w:val="23BB5022"/>
    <w:rsid w:val="23E24C23"/>
    <w:rsid w:val="24030739"/>
    <w:rsid w:val="24171C20"/>
    <w:rsid w:val="24471BD8"/>
    <w:rsid w:val="24520E31"/>
    <w:rsid w:val="24525565"/>
    <w:rsid w:val="246E2C04"/>
    <w:rsid w:val="24751546"/>
    <w:rsid w:val="247533B6"/>
    <w:rsid w:val="24A069D0"/>
    <w:rsid w:val="24AC65B2"/>
    <w:rsid w:val="24B633BA"/>
    <w:rsid w:val="24D83DBE"/>
    <w:rsid w:val="24DD5C79"/>
    <w:rsid w:val="24ED3D22"/>
    <w:rsid w:val="24FB5123"/>
    <w:rsid w:val="25233128"/>
    <w:rsid w:val="253043E0"/>
    <w:rsid w:val="253849A3"/>
    <w:rsid w:val="253E4540"/>
    <w:rsid w:val="255952E0"/>
    <w:rsid w:val="2570623D"/>
    <w:rsid w:val="2572497D"/>
    <w:rsid w:val="25787050"/>
    <w:rsid w:val="25814834"/>
    <w:rsid w:val="25B65BF6"/>
    <w:rsid w:val="25E23F6E"/>
    <w:rsid w:val="25E97100"/>
    <w:rsid w:val="25FE36C0"/>
    <w:rsid w:val="25FF7AB9"/>
    <w:rsid w:val="26153490"/>
    <w:rsid w:val="2643252E"/>
    <w:rsid w:val="26450D09"/>
    <w:rsid w:val="26560B39"/>
    <w:rsid w:val="265F75DC"/>
    <w:rsid w:val="267733BF"/>
    <w:rsid w:val="26823D6B"/>
    <w:rsid w:val="268E37D0"/>
    <w:rsid w:val="26946F71"/>
    <w:rsid w:val="26C14889"/>
    <w:rsid w:val="26E26161"/>
    <w:rsid w:val="26F31F52"/>
    <w:rsid w:val="27074BC5"/>
    <w:rsid w:val="271403F9"/>
    <w:rsid w:val="276858AA"/>
    <w:rsid w:val="277C2743"/>
    <w:rsid w:val="27C237C1"/>
    <w:rsid w:val="27EA3F7B"/>
    <w:rsid w:val="27F332A8"/>
    <w:rsid w:val="27F9171F"/>
    <w:rsid w:val="2826398B"/>
    <w:rsid w:val="28522742"/>
    <w:rsid w:val="285C66CB"/>
    <w:rsid w:val="28663B48"/>
    <w:rsid w:val="2873363B"/>
    <w:rsid w:val="287523FA"/>
    <w:rsid w:val="28893E66"/>
    <w:rsid w:val="28BE58BB"/>
    <w:rsid w:val="28C70A1A"/>
    <w:rsid w:val="28EA4BDF"/>
    <w:rsid w:val="28F77A41"/>
    <w:rsid w:val="291A6899"/>
    <w:rsid w:val="291D0575"/>
    <w:rsid w:val="29247AC7"/>
    <w:rsid w:val="292A4453"/>
    <w:rsid w:val="293A4FD9"/>
    <w:rsid w:val="293A5491"/>
    <w:rsid w:val="295644A1"/>
    <w:rsid w:val="29763459"/>
    <w:rsid w:val="29A12D4F"/>
    <w:rsid w:val="2A0C701E"/>
    <w:rsid w:val="2A2B50EF"/>
    <w:rsid w:val="2A4859D9"/>
    <w:rsid w:val="2A4F7998"/>
    <w:rsid w:val="2A5471C2"/>
    <w:rsid w:val="2A6926B9"/>
    <w:rsid w:val="2A97058D"/>
    <w:rsid w:val="2A98526C"/>
    <w:rsid w:val="2A9A2704"/>
    <w:rsid w:val="2AAF49D1"/>
    <w:rsid w:val="2AD43EDC"/>
    <w:rsid w:val="2B220897"/>
    <w:rsid w:val="2B3F770E"/>
    <w:rsid w:val="2B6D38BF"/>
    <w:rsid w:val="2B8D0163"/>
    <w:rsid w:val="2B930C58"/>
    <w:rsid w:val="2BA45841"/>
    <w:rsid w:val="2BAF357B"/>
    <w:rsid w:val="2BF00CA6"/>
    <w:rsid w:val="2BF631F2"/>
    <w:rsid w:val="2C3A43A3"/>
    <w:rsid w:val="2C556C53"/>
    <w:rsid w:val="2C6F1F4B"/>
    <w:rsid w:val="2C7F1E42"/>
    <w:rsid w:val="2C8D0371"/>
    <w:rsid w:val="2CC66C7F"/>
    <w:rsid w:val="2CFB2AB0"/>
    <w:rsid w:val="2D217895"/>
    <w:rsid w:val="2D43524D"/>
    <w:rsid w:val="2D4C6289"/>
    <w:rsid w:val="2D6A0E78"/>
    <w:rsid w:val="2DD01F0A"/>
    <w:rsid w:val="2DE75388"/>
    <w:rsid w:val="2DF301D1"/>
    <w:rsid w:val="2DFB01CE"/>
    <w:rsid w:val="2E0B4F49"/>
    <w:rsid w:val="2E3D0880"/>
    <w:rsid w:val="2E8C7518"/>
    <w:rsid w:val="2E9436D8"/>
    <w:rsid w:val="2EAF29B0"/>
    <w:rsid w:val="2EB71917"/>
    <w:rsid w:val="2EC8039F"/>
    <w:rsid w:val="2ED53A3E"/>
    <w:rsid w:val="2EDB3C80"/>
    <w:rsid w:val="2EE967A1"/>
    <w:rsid w:val="2EF65755"/>
    <w:rsid w:val="2EFE5C6E"/>
    <w:rsid w:val="2F116B58"/>
    <w:rsid w:val="2F214383"/>
    <w:rsid w:val="2F271D8C"/>
    <w:rsid w:val="2F341C2C"/>
    <w:rsid w:val="2F4A5734"/>
    <w:rsid w:val="2FAA4345"/>
    <w:rsid w:val="2FBF348E"/>
    <w:rsid w:val="2FD24C5B"/>
    <w:rsid w:val="2FE71A8E"/>
    <w:rsid w:val="30102064"/>
    <w:rsid w:val="30105776"/>
    <w:rsid w:val="302B30DD"/>
    <w:rsid w:val="30422540"/>
    <w:rsid w:val="304C132D"/>
    <w:rsid w:val="30692968"/>
    <w:rsid w:val="306D5BB5"/>
    <w:rsid w:val="306F05C8"/>
    <w:rsid w:val="3090211E"/>
    <w:rsid w:val="309A0DD7"/>
    <w:rsid w:val="30A24617"/>
    <w:rsid w:val="30A40235"/>
    <w:rsid w:val="30AF48CC"/>
    <w:rsid w:val="30E01BE3"/>
    <w:rsid w:val="30E53A2E"/>
    <w:rsid w:val="310443E5"/>
    <w:rsid w:val="310C636E"/>
    <w:rsid w:val="317374C9"/>
    <w:rsid w:val="318317F6"/>
    <w:rsid w:val="31C51E84"/>
    <w:rsid w:val="31CD61F3"/>
    <w:rsid w:val="31CE0069"/>
    <w:rsid w:val="31DE32C1"/>
    <w:rsid w:val="32432776"/>
    <w:rsid w:val="324D1039"/>
    <w:rsid w:val="32722578"/>
    <w:rsid w:val="328B576C"/>
    <w:rsid w:val="32971E2A"/>
    <w:rsid w:val="32A87F15"/>
    <w:rsid w:val="32C20C50"/>
    <w:rsid w:val="32CF314C"/>
    <w:rsid w:val="32D95539"/>
    <w:rsid w:val="32E13E5C"/>
    <w:rsid w:val="32E37B5A"/>
    <w:rsid w:val="32ED45E0"/>
    <w:rsid w:val="33056708"/>
    <w:rsid w:val="330707FF"/>
    <w:rsid w:val="3339039B"/>
    <w:rsid w:val="33584DB1"/>
    <w:rsid w:val="33761392"/>
    <w:rsid w:val="338344B7"/>
    <w:rsid w:val="338D6EDB"/>
    <w:rsid w:val="339E17DF"/>
    <w:rsid w:val="33B02D19"/>
    <w:rsid w:val="33B214D8"/>
    <w:rsid w:val="33BD4895"/>
    <w:rsid w:val="33C90654"/>
    <w:rsid w:val="34101F0C"/>
    <w:rsid w:val="34172EA6"/>
    <w:rsid w:val="344F229B"/>
    <w:rsid w:val="3478716D"/>
    <w:rsid w:val="34CC3819"/>
    <w:rsid w:val="34CE5AE1"/>
    <w:rsid w:val="34F86E2E"/>
    <w:rsid w:val="35264CC9"/>
    <w:rsid w:val="352D0CBF"/>
    <w:rsid w:val="352E5727"/>
    <w:rsid w:val="35554CFD"/>
    <w:rsid w:val="35555F84"/>
    <w:rsid w:val="35B54AB4"/>
    <w:rsid w:val="35CF3D0F"/>
    <w:rsid w:val="35D711F5"/>
    <w:rsid w:val="35ED69A4"/>
    <w:rsid w:val="360B29CC"/>
    <w:rsid w:val="363A591E"/>
    <w:rsid w:val="3666566E"/>
    <w:rsid w:val="3673443D"/>
    <w:rsid w:val="36746DF5"/>
    <w:rsid w:val="367B1A96"/>
    <w:rsid w:val="367E517E"/>
    <w:rsid w:val="36CE6A11"/>
    <w:rsid w:val="36F51B80"/>
    <w:rsid w:val="37044269"/>
    <w:rsid w:val="371D1593"/>
    <w:rsid w:val="37565F2E"/>
    <w:rsid w:val="376F0FFE"/>
    <w:rsid w:val="3794503B"/>
    <w:rsid w:val="37C2573A"/>
    <w:rsid w:val="37CD1A92"/>
    <w:rsid w:val="37DB5412"/>
    <w:rsid w:val="381D2D8D"/>
    <w:rsid w:val="385471AE"/>
    <w:rsid w:val="387771AD"/>
    <w:rsid w:val="387B136B"/>
    <w:rsid w:val="38887767"/>
    <w:rsid w:val="38992CCA"/>
    <w:rsid w:val="38E505F6"/>
    <w:rsid w:val="394160CB"/>
    <w:rsid w:val="39485965"/>
    <w:rsid w:val="394F18EF"/>
    <w:rsid w:val="3967042E"/>
    <w:rsid w:val="396D5457"/>
    <w:rsid w:val="396E526D"/>
    <w:rsid w:val="39D74414"/>
    <w:rsid w:val="39DB5754"/>
    <w:rsid w:val="39FC6276"/>
    <w:rsid w:val="39FF6495"/>
    <w:rsid w:val="3A196B0D"/>
    <w:rsid w:val="3A317ABF"/>
    <w:rsid w:val="3A5364BF"/>
    <w:rsid w:val="3A5808CC"/>
    <w:rsid w:val="3A653819"/>
    <w:rsid w:val="3A69757E"/>
    <w:rsid w:val="3A976D47"/>
    <w:rsid w:val="3ABF388B"/>
    <w:rsid w:val="3AD50F6A"/>
    <w:rsid w:val="3AE47EE5"/>
    <w:rsid w:val="3AEB3967"/>
    <w:rsid w:val="3B004DB9"/>
    <w:rsid w:val="3B373DE7"/>
    <w:rsid w:val="3B377305"/>
    <w:rsid w:val="3B4354DE"/>
    <w:rsid w:val="3B92750C"/>
    <w:rsid w:val="3B9E02FE"/>
    <w:rsid w:val="3BAD79CC"/>
    <w:rsid w:val="3BAE10C7"/>
    <w:rsid w:val="3BB00421"/>
    <w:rsid w:val="3BB658D9"/>
    <w:rsid w:val="3C7A3BEB"/>
    <w:rsid w:val="3C7B2C49"/>
    <w:rsid w:val="3C812156"/>
    <w:rsid w:val="3C975DE8"/>
    <w:rsid w:val="3D2270E3"/>
    <w:rsid w:val="3D2E4C24"/>
    <w:rsid w:val="3D322A52"/>
    <w:rsid w:val="3D347EBE"/>
    <w:rsid w:val="3D6A3DED"/>
    <w:rsid w:val="3D9A7A4B"/>
    <w:rsid w:val="3DB87EDF"/>
    <w:rsid w:val="3DD6347F"/>
    <w:rsid w:val="3DDA6FDD"/>
    <w:rsid w:val="3DE277F2"/>
    <w:rsid w:val="3DF37811"/>
    <w:rsid w:val="3DFC3CC2"/>
    <w:rsid w:val="3E2E2B5F"/>
    <w:rsid w:val="3E330175"/>
    <w:rsid w:val="3E445148"/>
    <w:rsid w:val="3E7E41BF"/>
    <w:rsid w:val="3E8470B0"/>
    <w:rsid w:val="3EA91EE8"/>
    <w:rsid w:val="3EAD00B5"/>
    <w:rsid w:val="3EBA7834"/>
    <w:rsid w:val="3EF701AD"/>
    <w:rsid w:val="3F3205A2"/>
    <w:rsid w:val="3FC13EBC"/>
    <w:rsid w:val="3FC27670"/>
    <w:rsid w:val="3FCE01E2"/>
    <w:rsid w:val="3FCE7FB1"/>
    <w:rsid w:val="400A4DE7"/>
    <w:rsid w:val="400E2BEE"/>
    <w:rsid w:val="40267F52"/>
    <w:rsid w:val="403C4A7C"/>
    <w:rsid w:val="403D7FCB"/>
    <w:rsid w:val="406F6E5B"/>
    <w:rsid w:val="40B32579"/>
    <w:rsid w:val="40FF3A07"/>
    <w:rsid w:val="414D7E0E"/>
    <w:rsid w:val="41720FB5"/>
    <w:rsid w:val="41727207"/>
    <w:rsid w:val="418569E0"/>
    <w:rsid w:val="418A2EC7"/>
    <w:rsid w:val="41920A7C"/>
    <w:rsid w:val="419C7DE6"/>
    <w:rsid w:val="41C518D3"/>
    <w:rsid w:val="41D562F2"/>
    <w:rsid w:val="41D959E2"/>
    <w:rsid w:val="41E33CD1"/>
    <w:rsid w:val="41FF0AF3"/>
    <w:rsid w:val="420A6AA2"/>
    <w:rsid w:val="420D5D47"/>
    <w:rsid w:val="42272D57"/>
    <w:rsid w:val="423B1318"/>
    <w:rsid w:val="426B5D0D"/>
    <w:rsid w:val="42954391"/>
    <w:rsid w:val="429A6F72"/>
    <w:rsid w:val="42B75260"/>
    <w:rsid w:val="42C6790B"/>
    <w:rsid w:val="42DE77DE"/>
    <w:rsid w:val="430F51D7"/>
    <w:rsid w:val="430F68C7"/>
    <w:rsid w:val="43161D12"/>
    <w:rsid w:val="432B2CC9"/>
    <w:rsid w:val="435117C9"/>
    <w:rsid w:val="4374600D"/>
    <w:rsid w:val="438B7FF2"/>
    <w:rsid w:val="438F36AD"/>
    <w:rsid w:val="4396118A"/>
    <w:rsid w:val="439D3AA3"/>
    <w:rsid w:val="43CE5E76"/>
    <w:rsid w:val="43D5753A"/>
    <w:rsid w:val="43DA7AB2"/>
    <w:rsid w:val="43DF1885"/>
    <w:rsid w:val="44122EAE"/>
    <w:rsid w:val="444A2325"/>
    <w:rsid w:val="444A7A17"/>
    <w:rsid w:val="444D6002"/>
    <w:rsid w:val="44656F34"/>
    <w:rsid w:val="449476C0"/>
    <w:rsid w:val="44CE5ECE"/>
    <w:rsid w:val="4505296C"/>
    <w:rsid w:val="452151CC"/>
    <w:rsid w:val="45344EFF"/>
    <w:rsid w:val="454B4191"/>
    <w:rsid w:val="459C7525"/>
    <w:rsid w:val="45DD0AA2"/>
    <w:rsid w:val="45DE262E"/>
    <w:rsid w:val="460F4214"/>
    <w:rsid w:val="461C4874"/>
    <w:rsid w:val="462B4CC8"/>
    <w:rsid w:val="463B570C"/>
    <w:rsid w:val="464842F2"/>
    <w:rsid w:val="46573C5A"/>
    <w:rsid w:val="46883777"/>
    <w:rsid w:val="46E87C40"/>
    <w:rsid w:val="47002EBF"/>
    <w:rsid w:val="470322FB"/>
    <w:rsid w:val="474E31D8"/>
    <w:rsid w:val="474E6020"/>
    <w:rsid w:val="475D08BF"/>
    <w:rsid w:val="475E677D"/>
    <w:rsid w:val="476F5D25"/>
    <w:rsid w:val="477754A1"/>
    <w:rsid w:val="47812770"/>
    <w:rsid w:val="47AB60C9"/>
    <w:rsid w:val="47B117BD"/>
    <w:rsid w:val="47FB1D04"/>
    <w:rsid w:val="482B491E"/>
    <w:rsid w:val="484F0678"/>
    <w:rsid w:val="48555EEC"/>
    <w:rsid w:val="4891276C"/>
    <w:rsid w:val="48AE4729"/>
    <w:rsid w:val="48C744DA"/>
    <w:rsid w:val="48F23C98"/>
    <w:rsid w:val="49230043"/>
    <w:rsid w:val="497201F8"/>
    <w:rsid w:val="49902453"/>
    <w:rsid w:val="49926698"/>
    <w:rsid w:val="49A66B4A"/>
    <w:rsid w:val="49F55DB8"/>
    <w:rsid w:val="49F66C05"/>
    <w:rsid w:val="49F85D8A"/>
    <w:rsid w:val="4A2C64F3"/>
    <w:rsid w:val="4A3B487A"/>
    <w:rsid w:val="4A4A5245"/>
    <w:rsid w:val="4A741CCA"/>
    <w:rsid w:val="4A8923AF"/>
    <w:rsid w:val="4AA426EA"/>
    <w:rsid w:val="4AC53CBB"/>
    <w:rsid w:val="4ACC0230"/>
    <w:rsid w:val="4B2E419E"/>
    <w:rsid w:val="4B532FBF"/>
    <w:rsid w:val="4B582C63"/>
    <w:rsid w:val="4B74551D"/>
    <w:rsid w:val="4B775B45"/>
    <w:rsid w:val="4B927525"/>
    <w:rsid w:val="4B936A32"/>
    <w:rsid w:val="4BA74338"/>
    <w:rsid w:val="4BAE52DF"/>
    <w:rsid w:val="4BDF2C8B"/>
    <w:rsid w:val="4BF16E8F"/>
    <w:rsid w:val="4BFB25DD"/>
    <w:rsid w:val="4C361D68"/>
    <w:rsid w:val="4CAE5EE6"/>
    <w:rsid w:val="4CBF2D5A"/>
    <w:rsid w:val="4CDF407F"/>
    <w:rsid w:val="4CEA0959"/>
    <w:rsid w:val="4CF146B4"/>
    <w:rsid w:val="4CFD59A9"/>
    <w:rsid w:val="4D25176B"/>
    <w:rsid w:val="4D260C5F"/>
    <w:rsid w:val="4D7B0DCD"/>
    <w:rsid w:val="4D9011F2"/>
    <w:rsid w:val="4D901BCB"/>
    <w:rsid w:val="4DD905E1"/>
    <w:rsid w:val="4E0137F1"/>
    <w:rsid w:val="4E1C5F0E"/>
    <w:rsid w:val="4E326D04"/>
    <w:rsid w:val="4E577BF6"/>
    <w:rsid w:val="4E591047"/>
    <w:rsid w:val="4E7F013F"/>
    <w:rsid w:val="4E8F168E"/>
    <w:rsid w:val="4EC4759D"/>
    <w:rsid w:val="4EDB6807"/>
    <w:rsid w:val="4EE36B8F"/>
    <w:rsid w:val="4EE66953"/>
    <w:rsid w:val="4EFE617F"/>
    <w:rsid w:val="4F282624"/>
    <w:rsid w:val="4F547B9F"/>
    <w:rsid w:val="4F6464F1"/>
    <w:rsid w:val="4F7205D8"/>
    <w:rsid w:val="4FA15CEE"/>
    <w:rsid w:val="4FFE0EA1"/>
    <w:rsid w:val="501F70B7"/>
    <w:rsid w:val="504640DA"/>
    <w:rsid w:val="50563129"/>
    <w:rsid w:val="509D0C38"/>
    <w:rsid w:val="50A733ED"/>
    <w:rsid w:val="50B4688D"/>
    <w:rsid w:val="50D819C8"/>
    <w:rsid w:val="50DB77C9"/>
    <w:rsid w:val="51786D26"/>
    <w:rsid w:val="519241EE"/>
    <w:rsid w:val="51A77C9C"/>
    <w:rsid w:val="51A83776"/>
    <w:rsid w:val="51B060CC"/>
    <w:rsid w:val="51BA49DE"/>
    <w:rsid w:val="51D51F8F"/>
    <w:rsid w:val="521E05CF"/>
    <w:rsid w:val="526A55B4"/>
    <w:rsid w:val="52804191"/>
    <w:rsid w:val="52851297"/>
    <w:rsid w:val="529B5152"/>
    <w:rsid w:val="52C96591"/>
    <w:rsid w:val="52CC242C"/>
    <w:rsid w:val="52E07B89"/>
    <w:rsid w:val="52F263F9"/>
    <w:rsid w:val="531202FE"/>
    <w:rsid w:val="534A4572"/>
    <w:rsid w:val="53610D09"/>
    <w:rsid w:val="53751E36"/>
    <w:rsid w:val="538F52B9"/>
    <w:rsid w:val="53BA0D06"/>
    <w:rsid w:val="53C42347"/>
    <w:rsid w:val="53DA2F9E"/>
    <w:rsid w:val="53E93215"/>
    <w:rsid w:val="53F33289"/>
    <w:rsid w:val="54000089"/>
    <w:rsid w:val="541D0789"/>
    <w:rsid w:val="541D5C91"/>
    <w:rsid w:val="54203413"/>
    <w:rsid w:val="54350D82"/>
    <w:rsid w:val="544A71CC"/>
    <w:rsid w:val="5459602B"/>
    <w:rsid w:val="54724791"/>
    <w:rsid w:val="54753F9F"/>
    <w:rsid w:val="549534E0"/>
    <w:rsid w:val="549B2568"/>
    <w:rsid w:val="54AA07A4"/>
    <w:rsid w:val="54BC23A3"/>
    <w:rsid w:val="54D874BC"/>
    <w:rsid w:val="5524600E"/>
    <w:rsid w:val="55476387"/>
    <w:rsid w:val="555A2108"/>
    <w:rsid w:val="55775466"/>
    <w:rsid w:val="55B15F1C"/>
    <w:rsid w:val="55B470C8"/>
    <w:rsid w:val="55D83684"/>
    <w:rsid w:val="55FB395E"/>
    <w:rsid w:val="55FE0B66"/>
    <w:rsid w:val="56145891"/>
    <w:rsid w:val="56626C12"/>
    <w:rsid w:val="56741288"/>
    <w:rsid w:val="568F5864"/>
    <w:rsid w:val="56BB7C73"/>
    <w:rsid w:val="57031639"/>
    <w:rsid w:val="571C5AFE"/>
    <w:rsid w:val="57292084"/>
    <w:rsid w:val="57330D78"/>
    <w:rsid w:val="573F7E24"/>
    <w:rsid w:val="57783371"/>
    <w:rsid w:val="5786523A"/>
    <w:rsid w:val="5799067F"/>
    <w:rsid w:val="579A2240"/>
    <w:rsid w:val="57A01E69"/>
    <w:rsid w:val="57B273CE"/>
    <w:rsid w:val="57B63D9E"/>
    <w:rsid w:val="57D817EF"/>
    <w:rsid w:val="58435A1F"/>
    <w:rsid w:val="584B16B7"/>
    <w:rsid w:val="585E67F1"/>
    <w:rsid w:val="58AA248E"/>
    <w:rsid w:val="58B840AB"/>
    <w:rsid w:val="58D3766D"/>
    <w:rsid w:val="58F4454A"/>
    <w:rsid w:val="59194778"/>
    <w:rsid w:val="591A4721"/>
    <w:rsid w:val="593E7E74"/>
    <w:rsid w:val="598221E7"/>
    <w:rsid w:val="598401C8"/>
    <w:rsid w:val="59EA766E"/>
    <w:rsid w:val="59FB3492"/>
    <w:rsid w:val="5A561AF5"/>
    <w:rsid w:val="5A6328D9"/>
    <w:rsid w:val="5A6D4142"/>
    <w:rsid w:val="5A7932A2"/>
    <w:rsid w:val="5A804E00"/>
    <w:rsid w:val="5AE575AD"/>
    <w:rsid w:val="5AEF0024"/>
    <w:rsid w:val="5B07772C"/>
    <w:rsid w:val="5B3B1BF2"/>
    <w:rsid w:val="5B6727CB"/>
    <w:rsid w:val="5B8E63A4"/>
    <w:rsid w:val="5BAE608D"/>
    <w:rsid w:val="5BE10DB9"/>
    <w:rsid w:val="5BF05106"/>
    <w:rsid w:val="5C160EEB"/>
    <w:rsid w:val="5C214984"/>
    <w:rsid w:val="5C393538"/>
    <w:rsid w:val="5C560A13"/>
    <w:rsid w:val="5C6A0716"/>
    <w:rsid w:val="5C6D7EF3"/>
    <w:rsid w:val="5CA23C5C"/>
    <w:rsid w:val="5CAA0DD3"/>
    <w:rsid w:val="5CBD35D4"/>
    <w:rsid w:val="5CC44612"/>
    <w:rsid w:val="5CF11AAC"/>
    <w:rsid w:val="5CFB4139"/>
    <w:rsid w:val="5D23778C"/>
    <w:rsid w:val="5D5B6E4F"/>
    <w:rsid w:val="5D6E589D"/>
    <w:rsid w:val="5DB84B3E"/>
    <w:rsid w:val="5DBA094B"/>
    <w:rsid w:val="5DC3375F"/>
    <w:rsid w:val="5DCE3E5A"/>
    <w:rsid w:val="5DD6161C"/>
    <w:rsid w:val="5DDF72AE"/>
    <w:rsid w:val="5DF65EED"/>
    <w:rsid w:val="5DFF1FD4"/>
    <w:rsid w:val="5E066CD2"/>
    <w:rsid w:val="5E1A737A"/>
    <w:rsid w:val="5E450617"/>
    <w:rsid w:val="5E544C16"/>
    <w:rsid w:val="5E5D0F3A"/>
    <w:rsid w:val="5E6F5CB3"/>
    <w:rsid w:val="5EB719C0"/>
    <w:rsid w:val="5EBD78BB"/>
    <w:rsid w:val="5EC24771"/>
    <w:rsid w:val="5ED7026F"/>
    <w:rsid w:val="5ED75BF7"/>
    <w:rsid w:val="5EE06817"/>
    <w:rsid w:val="5EEA41A2"/>
    <w:rsid w:val="5F131363"/>
    <w:rsid w:val="5F556442"/>
    <w:rsid w:val="5F5B31ED"/>
    <w:rsid w:val="5F872DA5"/>
    <w:rsid w:val="5F961F06"/>
    <w:rsid w:val="5FA779B5"/>
    <w:rsid w:val="5FB011CE"/>
    <w:rsid w:val="5FE0301A"/>
    <w:rsid w:val="5FE2114B"/>
    <w:rsid w:val="602045A6"/>
    <w:rsid w:val="603E59F2"/>
    <w:rsid w:val="60534BC0"/>
    <w:rsid w:val="607120D8"/>
    <w:rsid w:val="6079785E"/>
    <w:rsid w:val="60A8310D"/>
    <w:rsid w:val="60B06961"/>
    <w:rsid w:val="60F95BCD"/>
    <w:rsid w:val="61047BCD"/>
    <w:rsid w:val="611539DF"/>
    <w:rsid w:val="61283090"/>
    <w:rsid w:val="613622E5"/>
    <w:rsid w:val="613B17A7"/>
    <w:rsid w:val="614304A5"/>
    <w:rsid w:val="61477046"/>
    <w:rsid w:val="61572BD9"/>
    <w:rsid w:val="615F6240"/>
    <w:rsid w:val="61B72E96"/>
    <w:rsid w:val="61DD7686"/>
    <w:rsid w:val="61E41034"/>
    <w:rsid w:val="61F8163E"/>
    <w:rsid w:val="624B62AF"/>
    <w:rsid w:val="624E6A66"/>
    <w:rsid w:val="6261771C"/>
    <w:rsid w:val="62624DCE"/>
    <w:rsid w:val="62917D93"/>
    <w:rsid w:val="629560B5"/>
    <w:rsid w:val="62971594"/>
    <w:rsid w:val="62CD2196"/>
    <w:rsid w:val="62D8551C"/>
    <w:rsid w:val="63036028"/>
    <w:rsid w:val="63494287"/>
    <w:rsid w:val="634A1F09"/>
    <w:rsid w:val="634E2901"/>
    <w:rsid w:val="63535F9B"/>
    <w:rsid w:val="637E6144"/>
    <w:rsid w:val="638A3548"/>
    <w:rsid w:val="638F7DA7"/>
    <w:rsid w:val="63926A0B"/>
    <w:rsid w:val="63E36BA7"/>
    <w:rsid w:val="64045705"/>
    <w:rsid w:val="64366E9A"/>
    <w:rsid w:val="64552E9A"/>
    <w:rsid w:val="648837DD"/>
    <w:rsid w:val="648942C6"/>
    <w:rsid w:val="64DF42CC"/>
    <w:rsid w:val="64F30D4D"/>
    <w:rsid w:val="64FB3E73"/>
    <w:rsid w:val="65025947"/>
    <w:rsid w:val="65183D2E"/>
    <w:rsid w:val="65193A81"/>
    <w:rsid w:val="654324A1"/>
    <w:rsid w:val="654640A8"/>
    <w:rsid w:val="65604FBF"/>
    <w:rsid w:val="659C5B43"/>
    <w:rsid w:val="65C45C3E"/>
    <w:rsid w:val="65D0753C"/>
    <w:rsid w:val="65D148D2"/>
    <w:rsid w:val="65D42E9C"/>
    <w:rsid w:val="65EA43DD"/>
    <w:rsid w:val="65F37842"/>
    <w:rsid w:val="66015C07"/>
    <w:rsid w:val="66043FA9"/>
    <w:rsid w:val="66080D5A"/>
    <w:rsid w:val="662874A4"/>
    <w:rsid w:val="662918B0"/>
    <w:rsid w:val="66355826"/>
    <w:rsid w:val="66421292"/>
    <w:rsid w:val="66432D9C"/>
    <w:rsid w:val="664351AB"/>
    <w:rsid w:val="6690481F"/>
    <w:rsid w:val="669C350A"/>
    <w:rsid w:val="66BD02B6"/>
    <w:rsid w:val="66C44497"/>
    <w:rsid w:val="66D24AD8"/>
    <w:rsid w:val="66D44DA1"/>
    <w:rsid w:val="66D50FC1"/>
    <w:rsid w:val="66E42D95"/>
    <w:rsid w:val="66F13712"/>
    <w:rsid w:val="671236CA"/>
    <w:rsid w:val="67187CB6"/>
    <w:rsid w:val="671E3446"/>
    <w:rsid w:val="67460248"/>
    <w:rsid w:val="675B637C"/>
    <w:rsid w:val="6777591F"/>
    <w:rsid w:val="67C40BA9"/>
    <w:rsid w:val="67C81B9E"/>
    <w:rsid w:val="67FE105A"/>
    <w:rsid w:val="682E4619"/>
    <w:rsid w:val="6882548F"/>
    <w:rsid w:val="68B44570"/>
    <w:rsid w:val="68B452A1"/>
    <w:rsid w:val="68E835A3"/>
    <w:rsid w:val="68F60A11"/>
    <w:rsid w:val="68FA1D5C"/>
    <w:rsid w:val="69121041"/>
    <w:rsid w:val="69133DE8"/>
    <w:rsid w:val="691953DF"/>
    <w:rsid w:val="69246B5B"/>
    <w:rsid w:val="693B767D"/>
    <w:rsid w:val="69484A8D"/>
    <w:rsid w:val="69487E5D"/>
    <w:rsid w:val="696B5905"/>
    <w:rsid w:val="69BD1315"/>
    <w:rsid w:val="69F60B8D"/>
    <w:rsid w:val="69FF664C"/>
    <w:rsid w:val="6A020671"/>
    <w:rsid w:val="6A16317C"/>
    <w:rsid w:val="6A295DEE"/>
    <w:rsid w:val="6A596E62"/>
    <w:rsid w:val="6A5F6A5B"/>
    <w:rsid w:val="6A635C94"/>
    <w:rsid w:val="6A705869"/>
    <w:rsid w:val="6A7942D6"/>
    <w:rsid w:val="6AA470DF"/>
    <w:rsid w:val="6AB644BE"/>
    <w:rsid w:val="6BAF6B7E"/>
    <w:rsid w:val="6BBB0C43"/>
    <w:rsid w:val="6BBB33E8"/>
    <w:rsid w:val="6BFB1A23"/>
    <w:rsid w:val="6C340A69"/>
    <w:rsid w:val="6C38226D"/>
    <w:rsid w:val="6C4C7BCA"/>
    <w:rsid w:val="6C5072BD"/>
    <w:rsid w:val="6C674E09"/>
    <w:rsid w:val="6C7366DA"/>
    <w:rsid w:val="6C74636E"/>
    <w:rsid w:val="6C8A6594"/>
    <w:rsid w:val="6C9877B5"/>
    <w:rsid w:val="6CBD2177"/>
    <w:rsid w:val="6CF44DF0"/>
    <w:rsid w:val="6CFE7F4A"/>
    <w:rsid w:val="6D073844"/>
    <w:rsid w:val="6D130963"/>
    <w:rsid w:val="6D200C5D"/>
    <w:rsid w:val="6D384EBB"/>
    <w:rsid w:val="6D4C655B"/>
    <w:rsid w:val="6D67584F"/>
    <w:rsid w:val="6D8360DA"/>
    <w:rsid w:val="6D9231AA"/>
    <w:rsid w:val="6DA72A24"/>
    <w:rsid w:val="6DE33A1A"/>
    <w:rsid w:val="6DF635F3"/>
    <w:rsid w:val="6E0A4E2C"/>
    <w:rsid w:val="6E372D39"/>
    <w:rsid w:val="6E4027ED"/>
    <w:rsid w:val="6E7278FF"/>
    <w:rsid w:val="6EA755CE"/>
    <w:rsid w:val="6EB5235D"/>
    <w:rsid w:val="6ED30A35"/>
    <w:rsid w:val="6ED635F1"/>
    <w:rsid w:val="6EF06AD7"/>
    <w:rsid w:val="6F21771C"/>
    <w:rsid w:val="6F323FC1"/>
    <w:rsid w:val="6F556807"/>
    <w:rsid w:val="6FF503C4"/>
    <w:rsid w:val="70152BF7"/>
    <w:rsid w:val="70294611"/>
    <w:rsid w:val="702A5A3C"/>
    <w:rsid w:val="705D1E4B"/>
    <w:rsid w:val="70932C63"/>
    <w:rsid w:val="70C41C03"/>
    <w:rsid w:val="70CB49E3"/>
    <w:rsid w:val="70F62B33"/>
    <w:rsid w:val="71130716"/>
    <w:rsid w:val="711A38C1"/>
    <w:rsid w:val="71331B13"/>
    <w:rsid w:val="71354B74"/>
    <w:rsid w:val="71A52EFC"/>
    <w:rsid w:val="71C31235"/>
    <w:rsid w:val="71C36760"/>
    <w:rsid w:val="71CA7F43"/>
    <w:rsid w:val="71EF2FA3"/>
    <w:rsid w:val="72075890"/>
    <w:rsid w:val="72185E7B"/>
    <w:rsid w:val="72203F91"/>
    <w:rsid w:val="722A48BB"/>
    <w:rsid w:val="723F1C35"/>
    <w:rsid w:val="726C0579"/>
    <w:rsid w:val="72834B15"/>
    <w:rsid w:val="728B3DD5"/>
    <w:rsid w:val="73131E0A"/>
    <w:rsid w:val="735A278C"/>
    <w:rsid w:val="73651F21"/>
    <w:rsid w:val="73770529"/>
    <w:rsid w:val="73791A70"/>
    <w:rsid w:val="73C46DD9"/>
    <w:rsid w:val="73CB0BAF"/>
    <w:rsid w:val="73FB519E"/>
    <w:rsid w:val="74515CB6"/>
    <w:rsid w:val="746A0C2F"/>
    <w:rsid w:val="746E12CA"/>
    <w:rsid w:val="748746D2"/>
    <w:rsid w:val="749301DB"/>
    <w:rsid w:val="74B61485"/>
    <w:rsid w:val="74CA1F4C"/>
    <w:rsid w:val="74E44527"/>
    <w:rsid w:val="74EE6602"/>
    <w:rsid w:val="74F00308"/>
    <w:rsid w:val="74F876C0"/>
    <w:rsid w:val="752A1AE5"/>
    <w:rsid w:val="754D0146"/>
    <w:rsid w:val="756248C1"/>
    <w:rsid w:val="75821F3A"/>
    <w:rsid w:val="75A30CCE"/>
    <w:rsid w:val="75A507A9"/>
    <w:rsid w:val="75BB7519"/>
    <w:rsid w:val="75BC06AF"/>
    <w:rsid w:val="75C96EC7"/>
    <w:rsid w:val="75DD14F8"/>
    <w:rsid w:val="75FA4895"/>
    <w:rsid w:val="76286203"/>
    <w:rsid w:val="763B0450"/>
    <w:rsid w:val="76771F60"/>
    <w:rsid w:val="76795529"/>
    <w:rsid w:val="76CA30F2"/>
    <w:rsid w:val="76D70C99"/>
    <w:rsid w:val="771F61BB"/>
    <w:rsid w:val="773C7588"/>
    <w:rsid w:val="7762380C"/>
    <w:rsid w:val="776F456E"/>
    <w:rsid w:val="777C33C0"/>
    <w:rsid w:val="778E09F5"/>
    <w:rsid w:val="77CC6B02"/>
    <w:rsid w:val="77CE6176"/>
    <w:rsid w:val="77EF45FA"/>
    <w:rsid w:val="78242048"/>
    <w:rsid w:val="78640913"/>
    <w:rsid w:val="787720B4"/>
    <w:rsid w:val="78A04BB8"/>
    <w:rsid w:val="78A04C36"/>
    <w:rsid w:val="78A0538D"/>
    <w:rsid w:val="78BC2E6D"/>
    <w:rsid w:val="78C3587A"/>
    <w:rsid w:val="78C81DB8"/>
    <w:rsid w:val="790658A3"/>
    <w:rsid w:val="79185C1A"/>
    <w:rsid w:val="795D74A2"/>
    <w:rsid w:val="798A3A29"/>
    <w:rsid w:val="79A634E6"/>
    <w:rsid w:val="79C41871"/>
    <w:rsid w:val="79F161F1"/>
    <w:rsid w:val="79F47285"/>
    <w:rsid w:val="79F81112"/>
    <w:rsid w:val="79FC2C12"/>
    <w:rsid w:val="7A0A43FF"/>
    <w:rsid w:val="7A982326"/>
    <w:rsid w:val="7AEF2E28"/>
    <w:rsid w:val="7AF34DA0"/>
    <w:rsid w:val="7AF81F4F"/>
    <w:rsid w:val="7B041F2D"/>
    <w:rsid w:val="7B332F87"/>
    <w:rsid w:val="7B510D28"/>
    <w:rsid w:val="7B690757"/>
    <w:rsid w:val="7BC90FC5"/>
    <w:rsid w:val="7BD07933"/>
    <w:rsid w:val="7BE176ED"/>
    <w:rsid w:val="7C0077A2"/>
    <w:rsid w:val="7C4975B6"/>
    <w:rsid w:val="7CC229D7"/>
    <w:rsid w:val="7CE50AFF"/>
    <w:rsid w:val="7CE83ECD"/>
    <w:rsid w:val="7CF24705"/>
    <w:rsid w:val="7D1378DF"/>
    <w:rsid w:val="7D166040"/>
    <w:rsid w:val="7D480840"/>
    <w:rsid w:val="7D5642C7"/>
    <w:rsid w:val="7D6031BB"/>
    <w:rsid w:val="7D6A37B3"/>
    <w:rsid w:val="7D952967"/>
    <w:rsid w:val="7DF564D4"/>
    <w:rsid w:val="7E01724A"/>
    <w:rsid w:val="7E2F3869"/>
    <w:rsid w:val="7E464D80"/>
    <w:rsid w:val="7E684F4B"/>
    <w:rsid w:val="7E690427"/>
    <w:rsid w:val="7E6B2A38"/>
    <w:rsid w:val="7E7E7459"/>
    <w:rsid w:val="7E826A17"/>
    <w:rsid w:val="7EA72492"/>
    <w:rsid w:val="7EC907D7"/>
    <w:rsid w:val="7ED34EBF"/>
    <w:rsid w:val="7EFD2C69"/>
    <w:rsid w:val="7F117457"/>
    <w:rsid w:val="7F15791F"/>
    <w:rsid w:val="7F1E3F4E"/>
    <w:rsid w:val="7F4E352B"/>
    <w:rsid w:val="7F6E2888"/>
    <w:rsid w:val="7F8577BD"/>
    <w:rsid w:val="7F907DF6"/>
    <w:rsid w:val="7F9B6D4C"/>
    <w:rsid w:val="7FB40137"/>
    <w:rsid w:val="7FC2227E"/>
    <w:rsid w:val="7FE97B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semiHidden="0"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
    <w:qFormat/>
    <w:uiPriority w:val="99"/>
    <w:pPr>
      <w:keepNext/>
      <w:keepLines/>
      <w:spacing w:before="260" w:after="260" w:line="415" w:lineRule="auto"/>
      <w:outlineLvl w:val="2"/>
    </w:pPr>
    <w:rPr>
      <w:rFonts w:ascii="Times New Roman" w:hAnsi="Times New Roman"/>
      <w:b/>
      <w:bCs/>
      <w:sz w:val="32"/>
      <w:szCs w:val="32"/>
    </w:rPr>
  </w:style>
  <w:style w:type="character" w:default="1" w:styleId="14">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99"/>
    <w:pPr>
      <w:ind w:firstLine="420"/>
    </w:pPr>
    <w:rPr>
      <w:b/>
      <w:sz w:val="24"/>
      <w:szCs w:val="20"/>
    </w:rPr>
  </w:style>
  <w:style w:type="paragraph" w:styleId="6">
    <w:name w:val="annotation text"/>
    <w:basedOn w:val="1"/>
    <w:unhideWhenUsed/>
    <w:qFormat/>
    <w:locked/>
    <w:uiPriority w:val="99"/>
    <w:pPr>
      <w:jc w:val="left"/>
    </w:pPr>
  </w:style>
  <w:style w:type="paragraph" w:styleId="7">
    <w:name w:val="Body Text"/>
    <w:basedOn w:val="1"/>
    <w:qFormat/>
    <w:locked/>
    <w:uiPriority w:val="0"/>
    <w:rPr>
      <w:rFonts w:ascii="仿宋_GB2312" w:eastAsia="仿宋_GB2312"/>
      <w:kern w:val="0"/>
      <w:sz w:val="24"/>
      <w:szCs w:val="20"/>
    </w:rPr>
  </w:style>
  <w:style w:type="paragraph" w:styleId="8">
    <w:name w:val="Plain Text"/>
    <w:basedOn w:val="1"/>
    <w:link w:val="22"/>
    <w:qFormat/>
    <w:uiPriority w:val="99"/>
    <w:rPr>
      <w:rFonts w:ascii="宋体" w:hAnsi="Courier New"/>
      <w:sz w:val="28"/>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footnote text"/>
    <w:basedOn w:val="1"/>
    <w:qFormat/>
    <w:locked/>
    <w:uiPriority w:val="0"/>
    <w:pPr>
      <w:snapToGrid w:val="0"/>
      <w:jc w:val="left"/>
    </w:pPr>
    <w:rPr>
      <w:sz w:val="18"/>
      <w:szCs w:val="18"/>
    </w:r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style>
  <w:style w:type="character" w:styleId="16">
    <w:name w:val="page number"/>
    <w:qFormat/>
    <w:uiPriority w:val="99"/>
    <w:rPr>
      <w:rFonts w:cs="Times New Roman"/>
    </w:rPr>
  </w:style>
  <w:style w:type="character" w:styleId="17">
    <w:name w:val="FollowedHyperlink"/>
    <w:semiHidden/>
    <w:qFormat/>
    <w:uiPriority w:val="99"/>
    <w:rPr>
      <w:rFonts w:cs="Times New Roman"/>
      <w:color w:val="0000FF"/>
      <w:u w:val="single"/>
    </w:rPr>
  </w:style>
  <w:style w:type="character" w:styleId="18">
    <w:name w:val="Hyperlink"/>
    <w:semiHidden/>
    <w:qFormat/>
    <w:uiPriority w:val="99"/>
    <w:rPr>
      <w:rFonts w:cs="Times New Roman"/>
      <w:color w:val="0000FF"/>
      <w:u w:val="single"/>
    </w:rPr>
  </w:style>
  <w:style w:type="character" w:styleId="19">
    <w:name w:val="footnote reference"/>
    <w:qFormat/>
    <w:locked/>
    <w:uiPriority w:val="0"/>
    <w:rPr>
      <w:vertAlign w:val="superscript"/>
    </w:rPr>
  </w:style>
  <w:style w:type="character" w:customStyle="1" w:styleId="20">
    <w:name w:val="标题 2 字符"/>
    <w:link w:val="3"/>
    <w:semiHidden/>
    <w:qFormat/>
    <w:locked/>
    <w:uiPriority w:val="99"/>
    <w:rPr>
      <w:rFonts w:ascii="Cambria" w:hAnsi="Cambria" w:eastAsia="宋体" w:cs="Times New Roman"/>
      <w:b/>
      <w:bCs/>
      <w:sz w:val="32"/>
      <w:szCs w:val="32"/>
    </w:rPr>
  </w:style>
  <w:style w:type="character" w:customStyle="1" w:styleId="21">
    <w:name w:val="标题 3 字符"/>
    <w:link w:val="4"/>
    <w:semiHidden/>
    <w:qFormat/>
    <w:locked/>
    <w:uiPriority w:val="99"/>
    <w:rPr>
      <w:rFonts w:ascii="Calibri" w:hAnsi="Calibri" w:cs="Times New Roman"/>
      <w:b/>
      <w:bCs/>
      <w:sz w:val="32"/>
      <w:szCs w:val="32"/>
    </w:rPr>
  </w:style>
  <w:style w:type="character" w:customStyle="1" w:styleId="22">
    <w:name w:val="纯文本 字符"/>
    <w:link w:val="8"/>
    <w:semiHidden/>
    <w:qFormat/>
    <w:locked/>
    <w:uiPriority w:val="99"/>
    <w:rPr>
      <w:rFonts w:ascii="宋体" w:hAnsi="Courier New" w:cs="Courier New"/>
      <w:sz w:val="21"/>
      <w:szCs w:val="21"/>
    </w:rPr>
  </w:style>
  <w:style w:type="character" w:customStyle="1" w:styleId="23">
    <w:name w:val="页脚 字符"/>
    <w:link w:val="9"/>
    <w:semiHidden/>
    <w:qFormat/>
    <w:locked/>
    <w:uiPriority w:val="99"/>
    <w:rPr>
      <w:rFonts w:ascii="Calibri" w:hAnsi="Calibri" w:cs="Times New Roman"/>
      <w:sz w:val="18"/>
      <w:szCs w:val="18"/>
    </w:rPr>
  </w:style>
  <w:style w:type="paragraph" w:customStyle="1" w:styleId="2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25">
    <w:name w:val="selected"/>
    <w:qFormat/>
    <w:uiPriority w:val="99"/>
    <w:rPr>
      <w:rFonts w:cs="Times New Roman"/>
      <w:shd w:val="clear" w:color="auto" w:fill="B00006"/>
    </w:rPr>
  </w:style>
  <w:style w:type="character" w:customStyle="1" w:styleId="26">
    <w:name w:val="cke_colorbox"/>
    <w:qFormat/>
    <w:uiPriority w:val="99"/>
    <w:rPr>
      <w:rFonts w:cs="Times New Roman"/>
      <w:bdr w:val="single" w:color="808080" w:sz="6" w:space="0"/>
    </w:rPr>
  </w:style>
  <w:style w:type="character" w:customStyle="1" w:styleId="27">
    <w:name w:val="href"/>
    <w:qFormat/>
    <w:uiPriority w:val="99"/>
    <w:rPr>
      <w:rFonts w:cs="Times New Roman"/>
      <w:color w:val="0000FF"/>
      <w:u w:val="single"/>
    </w:rPr>
  </w:style>
  <w:style w:type="character" w:customStyle="1" w:styleId="28">
    <w:name w:val="cke_colorbox3"/>
    <w:qFormat/>
    <w:uiPriority w:val="99"/>
    <w:rPr>
      <w:rFonts w:cs="Times New Roman"/>
    </w:rPr>
  </w:style>
  <w:style w:type="character" w:customStyle="1" w:styleId="29">
    <w:name w:val="displayarti"/>
    <w:qFormat/>
    <w:uiPriority w:val="99"/>
    <w:rPr>
      <w:rFonts w:cs="Times New Roman"/>
      <w:color w:val="FFFFFF"/>
      <w:shd w:val="clear" w:color="auto" w:fill="A00000"/>
    </w:rPr>
  </w:style>
  <w:style w:type="character" w:customStyle="1" w:styleId="30">
    <w:name w:val="cke_browser_webkit"/>
    <w:qFormat/>
    <w:uiPriority w:val="99"/>
    <w:rPr>
      <w:rFonts w:cs="Times New Roman"/>
    </w:rPr>
  </w:style>
  <w:style w:type="character" w:customStyle="1" w:styleId="31">
    <w:name w:val="cke_browser_gecko18"/>
    <w:qFormat/>
    <w:uiPriority w:val="99"/>
    <w:rPr>
      <w:rFonts w:cs="Times New Roman"/>
    </w:rPr>
  </w:style>
  <w:style w:type="character" w:customStyle="1" w:styleId="32">
    <w:name w:val="cke_colorbox1"/>
    <w:qFormat/>
    <w:uiPriority w:val="99"/>
    <w:rPr>
      <w:rFonts w:cs="Times New Roman"/>
    </w:rPr>
  </w:style>
  <w:style w:type="character" w:customStyle="1" w:styleId="33">
    <w:name w:val="cke_inline_label"/>
    <w:qFormat/>
    <w:uiPriority w:val="99"/>
    <w:rPr>
      <w:rFonts w:cs="Times New Roman"/>
    </w:rPr>
  </w:style>
  <w:style w:type="character" w:customStyle="1" w:styleId="34">
    <w:name w:val="cke_inline_label2"/>
    <w:qFormat/>
    <w:uiPriority w:val="99"/>
    <w:rPr>
      <w:rFonts w:cs="Times New Roman"/>
    </w:rPr>
  </w:style>
  <w:style w:type="character" w:customStyle="1" w:styleId="35">
    <w:name w:val="cke_colorbox2"/>
    <w:qFormat/>
    <w:uiPriority w:val="99"/>
    <w:rPr>
      <w:rFonts w:cs="Times New Roman"/>
      <w:bdr w:val="single" w:color="808080" w:sz="6" w:space="0"/>
    </w:rPr>
  </w:style>
  <w:style w:type="character" w:customStyle="1" w:styleId="36">
    <w:name w:val="font01"/>
    <w:qFormat/>
    <w:uiPriority w:val="99"/>
    <w:rPr>
      <w:rFonts w:ascii="宋体" w:hAnsi="宋体" w:eastAsia="宋体" w:cs="宋体"/>
      <w:color w:val="000000"/>
      <w:sz w:val="21"/>
      <w:szCs w:val="21"/>
      <w:u w:val="none"/>
    </w:rPr>
  </w:style>
  <w:style w:type="character" w:customStyle="1" w:styleId="37">
    <w:name w:val="gpa"/>
    <w:qFormat/>
    <w:uiPriority w:val="99"/>
    <w:rPr>
      <w:rFonts w:ascii="Arial" w:hAnsi="Arial" w:cs="Arial"/>
      <w:sz w:val="15"/>
      <w:szCs w:val="15"/>
    </w:rPr>
  </w:style>
  <w:style w:type="paragraph" w:customStyle="1" w:styleId="38">
    <w:name w:val="_Style 2"/>
    <w:basedOn w:val="1"/>
    <w:qFormat/>
    <w:uiPriority w:val="99"/>
    <w:pPr>
      <w:ind w:firstLine="420" w:firstLineChars="200"/>
    </w:pPr>
  </w:style>
  <w:style w:type="paragraph" w:styleId="39">
    <w:name w:val="List Paragraph"/>
    <w:basedOn w:val="1"/>
    <w:qFormat/>
    <w:uiPriority w:val="99"/>
    <w:pPr>
      <w:ind w:firstLine="420" w:firstLineChars="200"/>
    </w:pPr>
  </w:style>
  <w:style w:type="paragraph" w:customStyle="1" w:styleId="40">
    <w:name w:val="第二层标题"/>
    <w:basedOn w:val="3"/>
    <w:qFormat/>
    <w:uiPriority w:val="0"/>
    <w:pPr>
      <w:spacing w:before="140" w:after="140" w:line="400" w:lineRule="exact"/>
    </w:pPr>
    <w:rPr>
      <w:b w:val="0"/>
      <w:sz w:val="28"/>
      <w:szCs w:val="28"/>
    </w:rPr>
  </w:style>
  <w:style w:type="paragraph" w:customStyle="1" w:styleId="41">
    <w:name w:val="第三层标题"/>
    <w:basedOn w:val="40"/>
    <w:qFormat/>
    <w:uiPriority w:val="0"/>
    <w:pPr>
      <w:spacing w:line="360" w:lineRule="exact"/>
    </w:pPr>
    <w:rPr>
      <w:sz w:val="24"/>
      <w:szCs w:val="24"/>
    </w:rPr>
  </w:style>
  <w:style w:type="paragraph" w:customStyle="1" w:styleId="42">
    <w:name w:val="样式 正文（首行缩进两字） + 宋体 首行缩进:  0 字符"/>
    <w:basedOn w:val="5"/>
    <w:qFormat/>
    <w:uiPriority w:val="0"/>
    <w:pPr>
      <w:spacing w:line="460" w:lineRule="exact"/>
      <w:ind w:firstLine="0"/>
    </w:pPr>
    <w:rPr>
      <w:rFonts w:ascii="宋体" w:hAnsi="宋体" w:cs="宋体"/>
      <w:b w:val="0"/>
      <w:spacing w:val="6"/>
      <w:kern w:val="24"/>
      <w:szCs w:val="24"/>
    </w:rPr>
  </w:style>
  <w:style w:type="paragraph" w:customStyle="1" w:styleId="43">
    <w:name w:val="正文缩进2格"/>
    <w:basedOn w:val="1"/>
    <w:semiHidden/>
    <w:qFormat/>
    <w:uiPriority w:val="0"/>
    <w:pPr>
      <w:spacing w:line="600" w:lineRule="exact"/>
      <w:ind w:firstLine="639" w:firstLineChars="206"/>
    </w:pPr>
    <w:rPr>
      <w:rFonts w:ascii="仿宋_GB2312" w:hAnsi="宋体" w:eastAsia="仿宋_GB2312"/>
      <w:kern w:val="0"/>
      <w:sz w:val="31"/>
      <w:szCs w:val="28"/>
    </w:rPr>
  </w:style>
  <w:style w:type="paragraph" w:customStyle="1" w:styleId="44">
    <w:name w:val="样式 标题 2 + 黑色 行距: 1.5 倍行距"/>
    <w:basedOn w:val="3"/>
    <w:qFormat/>
    <w:uiPriority w:val="0"/>
    <w:pPr>
      <w:spacing w:line="360" w:lineRule="auto"/>
    </w:pPr>
    <w:rPr>
      <w:rFonts w:cs="宋体"/>
      <w:color w:val="000000"/>
      <w:kern w:val="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16031</Words>
  <Characters>16583</Characters>
  <Lines>33</Lines>
  <Paragraphs>9</Paragraphs>
  <TotalTime>223</TotalTime>
  <ScaleCrop>false</ScaleCrop>
  <LinksUpToDate>false</LinksUpToDate>
  <CharactersWithSpaces>17209</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2017-03-20T12:07:00Z</dcterms:created>
  <dc:creator>81job</dc:creator>
  <cp:lastModifiedBy>杨蓓娟</cp:lastModifiedBy>
  <cp:lastPrinted>2018-08-29T02:25:00Z</cp:lastPrinted>
  <dcterms:modified xsi:type="dcterms:W3CDTF">2024-07-16T01:01:12Z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802ABEE1A1FA4742AA564ED631B7D613_13</vt:lpwstr>
  </property>
</Properties>
</file>