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rPr>
        <w:t>南通</w:t>
      </w:r>
      <w:r>
        <w:rPr>
          <w:rFonts w:hint="eastAsia" w:ascii="宋体" w:hAnsi="宋体" w:eastAsia="宋体" w:cs="宋体"/>
          <w:b/>
          <w:sz w:val="44"/>
          <w:szCs w:val="44"/>
          <w:highlight w:val="none"/>
          <w:lang w:eastAsia="zh-CN"/>
        </w:rPr>
        <w:t>兴东国际机场</w:t>
      </w:r>
    </w:p>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大米采购</w:t>
      </w:r>
      <w:r>
        <w:rPr>
          <w:rFonts w:hint="eastAsia" w:ascii="宋体" w:hAnsi="宋体" w:eastAsia="宋体" w:cs="宋体"/>
          <w:b/>
          <w:sz w:val="44"/>
          <w:szCs w:val="44"/>
          <w:highlight w:val="none"/>
          <w:lang w:eastAsia="zh-CN"/>
        </w:rPr>
        <w:t>项</w:t>
      </w:r>
      <w:r>
        <w:rPr>
          <w:rFonts w:hint="eastAsia" w:ascii="宋体" w:hAnsi="宋体" w:eastAsia="宋体" w:cs="宋体"/>
          <w:b/>
          <w:sz w:val="44"/>
          <w:szCs w:val="44"/>
          <w:highlight w:val="none"/>
        </w:rPr>
        <w:t>目</w:t>
      </w:r>
      <w:r>
        <w:rPr>
          <w:rFonts w:hint="eastAsia" w:ascii="宋体" w:hAnsi="宋体" w:eastAsia="宋体" w:cs="宋体"/>
          <w:b/>
          <w:sz w:val="44"/>
          <w:szCs w:val="44"/>
          <w:highlight w:val="none"/>
          <w:lang w:eastAsia="zh-CN"/>
        </w:rPr>
        <w:t>采购</w:t>
      </w:r>
      <w:r>
        <w:rPr>
          <w:rFonts w:hint="eastAsia" w:ascii="宋体" w:hAnsi="宋体" w:eastAsia="宋体" w:cs="宋体"/>
          <w:b/>
          <w:sz w:val="44"/>
          <w:szCs w:val="44"/>
          <w:highlight w:val="none"/>
        </w:rPr>
        <w:t>文件</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lang w:eastAsia="zh-CN"/>
        </w:rPr>
        <w:t>南通机场集团有限公司对</w:t>
      </w:r>
      <w:r>
        <w:rPr>
          <w:rFonts w:hint="eastAsia" w:ascii="仿宋" w:hAnsi="仿宋" w:eastAsia="仿宋" w:cs="仿宋"/>
          <w:highlight w:val="none"/>
          <w:u w:val="none"/>
          <w:shd w:val="clear" w:color="auto" w:fill="FFFFFF"/>
          <w:lang w:val="en-US" w:eastAsia="zh-CN"/>
        </w:rPr>
        <w:t>大米</w:t>
      </w:r>
      <w:r>
        <w:rPr>
          <w:rFonts w:hint="eastAsia" w:ascii="仿宋" w:hAnsi="仿宋" w:eastAsia="仿宋" w:cs="仿宋"/>
          <w:highlight w:val="none"/>
          <w:shd w:val="clear" w:color="auto" w:fill="FFFFFF"/>
        </w:rPr>
        <w:t>进行</w:t>
      </w:r>
      <w:r>
        <w:rPr>
          <w:rFonts w:hint="eastAsia" w:ascii="仿宋" w:hAnsi="仿宋" w:eastAsia="仿宋" w:cs="仿宋"/>
          <w:highlight w:val="none"/>
          <w:shd w:val="clear" w:color="auto" w:fill="FFFFFF"/>
          <w:lang w:val="en-US" w:eastAsia="zh-CN"/>
        </w:rPr>
        <w:t>竞争性磋商方式</w:t>
      </w:r>
      <w:r>
        <w:rPr>
          <w:rFonts w:hint="eastAsia" w:ascii="仿宋" w:hAnsi="仿宋" w:eastAsia="仿宋" w:cs="仿宋"/>
          <w:highlight w:val="none"/>
          <w:shd w:val="clear" w:color="auto" w:fill="FFFFFF"/>
        </w:rPr>
        <w:t>采购，特邀请符合条件的供应商参加。</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val="en-US" w:eastAsia="zh-CN"/>
        </w:rPr>
        <w:t>JCJT-WZ</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2024092</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项目名称：南通</w:t>
      </w:r>
      <w:r>
        <w:rPr>
          <w:rFonts w:hint="eastAsia" w:ascii="仿宋" w:hAnsi="仿宋" w:eastAsia="仿宋" w:cs="仿宋"/>
          <w:highlight w:val="none"/>
          <w:shd w:val="clear" w:color="auto" w:fill="FFFFFF"/>
          <w:lang w:eastAsia="zh-CN"/>
        </w:rPr>
        <w:t>兴东国际机场</w:t>
      </w:r>
      <w:r>
        <w:rPr>
          <w:rFonts w:hint="eastAsia" w:ascii="仿宋" w:hAnsi="仿宋" w:eastAsia="仿宋" w:cs="仿宋"/>
          <w:highlight w:val="none"/>
          <w:shd w:val="clear" w:color="auto" w:fill="FFFFFF"/>
          <w:lang w:val="en-US" w:eastAsia="zh-CN"/>
        </w:rPr>
        <w:t>大米采购</w:t>
      </w:r>
      <w:r>
        <w:rPr>
          <w:rFonts w:hint="eastAsia" w:ascii="仿宋" w:hAnsi="仿宋" w:eastAsia="仿宋" w:cs="仿宋"/>
          <w:highlight w:val="none"/>
          <w:shd w:val="clear" w:color="auto" w:fill="FFFFFF"/>
        </w:rPr>
        <w:t>项目</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shd w:val="clear" w:color="auto" w:fill="FFFFFF"/>
        </w:rPr>
        <w:t>采购预算</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不含税</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肆拾叁万零伍佰元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430500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清单：详见</w:t>
      </w:r>
      <w:r>
        <w:rPr>
          <w:rFonts w:hint="eastAsia" w:ascii="仿宋" w:hAnsi="仿宋" w:eastAsia="仿宋" w:cs="仿宋"/>
          <w:highlight w:val="none"/>
          <w:shd w:val="clear" w:color="auto" w:fill="FFFFFF"/>
          <w:lang w:eastAsia="zh-CN"/>
        </w:rPr>
        <w:t>第三章项目需求</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1.1</w:t>
      </w:r>
      <w:r>
        <w:rPr>
          <w:rFonts w:hint="eastAsia" w:ascii="仿宋" w:hAnsi="仿宋" w:eastAsia="仿宋" w:cs="仿宋"/>
          <w:b w:val="0"/>
          <w:bCs w:val="0"/>
          <w:highlight w:val="none"/>
          <w:shd w:val="clear" w:color="auto" w:fill="FFFFFF"/>
        </w:rPr>
        <w:t>投标人具有</w:t>
      </w:r>
      <w:r>
        <w:rPr>
          <w:rFonts w:hint="eastAsia" w:ascii="仿宋" w:hAnsi="仿宋" w:eastAsia="仿宋" w:cs="仿宋"/>
          <w:b w:val="0"/>
          <w:bCs w:val="0"/>
          <w:highlight w:val="none"/>
          <w:shd w:val="clear" w:color="auto" w:fill="FFFFFF"/>
          <w:lang w:eastAsia="zh-CN"/>
        </w:rPr>
        <w:t>承担民事责任的法人或自然人</w:t>
      </w:r>
      <w:r>
        <w:rPr>
          <w:rFonts w:hint="eastAsia" w:ascii="仿宋" w:hAnsi="仿宋" w:eastAsia="仿宋" w:cs="仿宋"/>
          <w:b w:val="0"/>
          <w:bCs w:val="0"/>
          <w:highlight w:val="none"/>
          <w:shd w:val="clear" w:color="auto" w:fill="FFFFFF"/>
        </w:rPr>
        <w:t>，招标内容在其营业执照的经营范围内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1.2投标人为生产商的，具有食品生产许可证（复印件加盖公章）；</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default"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1.3投标人为销售商的，具有食品流通（经营）许可证，并提供生产商的食品生产许可证（复印件加盖公章）；</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rPr>
        <w:t>财务要求：投标人</w:t>
      </w:r>
      <w:r>
        <w:rPr>
          <w:rFonts w:hint="eastAsia" w:ascii="仿宋" w:hAnsi="仿宋" w:eastAsia="仿宋" w:cs="仿宋"/>
          <w:b w:val="0"/>
          <w:bCs w:val="0"/>
          <w:highlight w:val="none"/>
          <w:shd w:val="clear" w:color="auto" w:fill="FFFFFF"/>
          <w:lang w:eastAsia="zh-CN"/>
        </w:rPr>
        <w:t>具有健全的财务会计制度（</w:t>
      </w:r>
      <w:r>
        <w:rPr>
          <w:rFonts w:hint="eastAsia" w:ascii="仿宋" w:hAnsi="仿宋" w:eastAsia="仿宋" w:cs="仿宋"/>
          <w:b w:val="0"/>
          <w:bCs w:val="0"/>
          <w:highlight w:val="none"/>
          <w:shd w:val="clear" w:color="auto" w:fill="FFFFFF"/>
        </w:rPr>
        <w:t>提供</w:t>
      </w:r>
      <w:r>
        <w:rPr>
          <w:rFonts w:hint="eastAsia" w:ascii="仿宋" w:hAnsi="仿宋" w:eastAsia="仿宋" w:cs="仿宋"/>
          <w:b w:val="0"/>
          <w:bCs w:val="0"/>
          <w:highlight w:val="none"/>
          <w:shd w:val="clear" w:color="auto" w:fill="FFFFFF"/>
          <w:lang w:eastAsia="zh-CN"/>
        </w:rPr>
        <w:t>上年度</w:t>
      </w:r>
      <w:r>
        <w:rPr>
          <w:rFonts w:hint="eastAsia" w:ascii="仿宋" w:hAnsi="仿宋" w:eastAsia="仿宋" w:cs="仿宋"/>
          <w:b w:val="0"/>
          <w:bCs w:val="0"/>
          <w:highlight w:val="none"/>
          <w:shd w:val="clear" w:color="auto" w:fill="FFFFFF"/>
        </w:rPr>
        <w:t>财务</w:t>
      </w:r>
      <w:r>
        <w:rPr>
          <w:rFonts w:hint="eastAsia" w:ascii="仿宋" w:hAnsi="仿宋" w:eastAsia="仿宋" w:cs="仿宋"/>
          <w:b w:val="0"/>
          <w:bCs w:val="0"/>
          <w:highlight w:val="none"/>
          <w:shd w:val="clear" w:color="auto" w:fill="FFFFFF"/>
          <w:lang w:eastAsia="zh-CN"/>
        </w:rPr>
        <w:t>报表；</w:t>
      </w:r>
      <w:r>
        <w:rPr>
          <w:rFonts w:hint="eastAsia" w:ascii="仿宋" w:hAnsi="仿宋" w:eastAsia="仿宋" w:cs="仿宋"/>
          <w:b w:val="0"/>
          <w:bCs w:val="0"/>
          <w:highlight w:val="none"/>
          <w:shd w:val="clear" w:color="auto" w:fill="FFFFFF"/>
          <w:lang w:val="en-US" w:eastAsia="zh-CN"/>
        </w:rPr>
        <w:t>成立未满一年的，提供银行资信证明</w:t>
      </w:r>
      <w:r>
        <w:rPr>
          <w:rFonts w:hint="eastAsia" w:ascii="仿宋" w:hAnsi="仿宋" w:eastAsia="仿宋" w:cs="仿宋"/>
          <w:b w:val="0"/>
          <w:bCs w:val="0"/>
          <w:highlight w:val="none"/>
          <w:shd w:val="clear" w:color="auto" w:fill="FFFFFF"/>
          <w:lang w:eastAsia="zh-CN"/>
        </w:rPr>
        <w:t>）；</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、商业信誉：竞谈响应人具有良好的商业信誉，未被信用中国等信用媒体列入失信被执行人、企业经营异常名录、重大税收违法案件当事人名单、政府采购严重违法失信名单、</w:t>
      </w:r>
      <w:r>
        <w:rPr>
          <w:rFonts w:hint="eastAsia" w:ascii="仿宋" w:hAnsi="仿宋" w:eastAsia="仿宋" w:cs="仿宋"/>
          <w:b w:val="0"/>
          <w:bCs w:val="0"/>
          <w:color w:val="auto"/>
          <w:highlight w:val="none"/>
          <w:shd w:val="clear" w:color="auto" w:fill="FFFFFF"/>
          <w:lang w:eastAsia="zh-CN"/>
        </w:rPr>
        <w:t>没有因违反招投标规定被行政处罚且在公示期内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sz w:val="24"/>
          <w:szCs w:val="24"/>
          <w:highlight w:val="none"/>
          <w:shd w:val="clear" w:color="auto" w:fill="FFFFFF"/>
          <w:lang w:eastAsia="zh-CN"/>
        </w:rPr>
        <w:t>本项由竞谈响应人提供证明材料</w:t>
      </w:r>
      <w:r>
        <w:rPr>
          <w:rFonts w:hint="eastAsia" w:ascii="仿宋" w:hAnsi="仿宋" w:eastAsia="仿宋" w:cs="仿宋"/>
          <w:sz w:val="24"/>
          <w:szCs w:val="24"/>
          <w:highlight w:val="none"/>
          <w:lang w:val="en-US" w:eastAsia="zh-CN"/>
        </w:rPr>
        <w:t>加盖公章</w:t>
      </w:r>
      <w:r>
        <w:rPr>
          <w:rFonts w:hint="eastAsia" w:ascii="仿宋" w:hAnsi="仿宋" w:eastAsia="仿宋" w:cs="仿宋"/>
          <w:b w:val="0"/>
          <w:bCs w:val="0"/>
          <w:highlight w:val="none"/>
          <w:shd w:val="clear" w:color="auto" w:fill="FFFFFF"/>
          <w:lang w:eastAsia="zh-CN"/>
        </w:rPr>
        <w:t>）；</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4、履约能力：竞谈响应人具有履行合同所必需的设备和专业技术能力（提供2021年以来大米销售业绩证明材料，业绩不低于10万，提供合同和全额发票，缺一不可）；</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有依法缴纳税收和社会保障资金的良好记录（提供开标前三个月的缴纳税收和社会保障资金的记录材料，加盖公章）；</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本次招标不接受联合体投标</w:t>
      </w:r>
      <w:r>
        <w:rPr>
          <w:rFonts w:hint="eastAsia" w:ascii="仿宋" w:hAnsi="仿宋" w:eastAsia="仿宋" w:cs="仿宋"/>
          <w:b w:val="0"/>
          <w:bCs w:val="0"/>
          <w:highlight w:val="none"/>
          <w:shd w:val="clear" w:color="auto" w:fill="FFFFFF"/>
          <w:lang w:eastAsia="zh-CN"/>
        </w:rPr>
        <w:t>；</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上自行下载。</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8"/>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rPr>
        <w:t>202</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9</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12</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eastAsia="zh-CN"/>
        </w:rPr>
        <w:t>上午</w:t>
      </w:r>
      <w:r>
        <w:rPr>
          <w:rFonts w:hint="eastAsia" w:ascii="仿宋" w:hAnsi="仿宋" w:eastAsia="仿宋" w:cs="仿宋"/>
          <w:highlight w:val="none"/>
          <w:shd w:val="clear" w:color="auto" w:fill="FFFFFF"/>
          <w:lang w:val="en-US" w:eastAsia="zh-CN"/>
        </w:rPr>
        <w:t>10:00</w:t>
      </w:r>
      <w:r>
        <w:rPr>
          <w:rFonts w:hint="eastAsia" w:ascii="仿宋" w:hAnsi="仿宋" w:eastAsia="仿宋" w:cs="仿宋"/>
          <w:highlight w:val="none"/>
          <w:shd w:val="clear" w:color="auto" w:fill="FFFFFF"/>
          <w:lang w:val="zh-CN"/>
        </w:rPr>
        <w:t>（开标时间同上）；</w:t>
      </w:r>
    </w:p>
    <w:p>
      <w:pPr>
        <w:pStyle w:val="8"/>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文件递交地点：南通兴东国际机场办公楼</w:t>
      </w:r>
      <w:r>
        <w:rPr>
          <w:rFonts w:hint="eastAsia" w:ascii="仿宋" w:hAnsi="仿宋" w:eastAsia="仿宋" w:cs="仿宋"/>
          <w:highlight w:val="none"/>
          <w:shd w:val="clear" w:color="auto" w:fill="FFFFFF"/>
        </w:rPr>
        <w:t>208</w:t>
      </w:r>
      <w:r>
        <w:rPr>
          <w:rFonts w:hint="eastAsia" w:ascii="仿宋" w:hAnsi="仿宋" w:eastAsia="仿宋" w:cs="仿宋"/>
          <w:highlight w:val="none"/>
          <w:shd w:val="clear" w:color="auto" w:fill="FFFFFF"/>
          <w:lang w:val="zh-CN"/>
        </w:rPr>
        <w:t>室（开标地点同上）；</w:t>
      </w:r>
    </w:p>
    <w:p>
      <w:pPr>
        <w:pStyle w:val="8"/>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3、文件递交方式：</w:t>
      </w:r>
      <w:r>
        <w:rPr>
          <w:rFonts w:hint="eastAsia" w:ascii="仿宋" w:hAnsi="仿宋" w:eastAsia="仿宋" w:cs="仿宋"/>
          <w:highlight w:val="none"/>
          <w:shd w:val="clear" w:color="auto" w:fill="FFFFFF"/>
          <w:lang w:val="en-US" w:eastAsia="zh-CN"/>
        </w:rPr>
        <w:t>【邮寄】递交纸质材料（不见面开标）</w:t>
      </w:r>
      <w:r>
        <w:rPr>
          <w:rFonts w:hint="eastAsia" w:ascii="仿宋" w:hAnsi="仿宋" w:eastAsia="仿宋" w:cs="仿宋"/>
          <w:highlight w:val="none"/>
          <w:shd w:val="clear" w:color="auto" w:fill="FFFFFF"/>
        </w:rPr>
        <w:t>；</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4、逾期送达的或者未送达指定地点的响应文件，采购人不予受理。</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上发布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黑体" w:hAnsi="黑体" w:eastAsia="黑体" w:cs="黑体"/>
          <w:b/>
          <w:bCs/>
          <w:highlight w:val="none"/>
          <w:shd w:val="clear" w:color="auto" w:fill="FFFFFF"/>
        </w:rPr>
      </w:pPr>
      <w:r>
        <w:rPr>
          <w:rFonts w:hint="eastAsia" w:ascii="仿宋" w:hAnsi="仿宋" w:eastAsia="仿宋" w:cs="仿宋"/>
          <w:highlight w:val="none"/>
          <w:shd w:val="clear" w:color="auto" w:fill="FFFFFF"/>
          <w:lang w:val="zh-CN"/>
        </w:rPr>
        <w:t> </w:t>
      </w:r>
      <w:r>
        <w:rPr>
          <w:rFonts w:hint="eastAsia" w:ascii="黑体" w:hAnsi="黑体" w:eastAsia="黑体" w:cs="黑体"/>
          <w:b/>
          <w:bCs/>
          <w:highlight w:val="none"/>
          <w:shd w:val="clear" w:color="auto" w:fill="FFFFFF"/>
        </w:rPr>
        <w:t>六、联系方式</w:t>
      </w:r>
      <w:bookmarkEnd w:id="0"/>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招标咨询</w:t>
      </w:r>
      <w:r>
        <w:rPr>
          <w:rFonts w:hint="eastAsia" w:ascii="仿宋" w:hAnsi="仿宋" w:eastAsia="仿宋" w:cs="仿宋"/>
          <w:highlight w:val="none"/>
          <w:shd w:val="clear" w:color="auto" w:fill="FFFFFF"/>
          <w:lang w:val="zh-CN"/>
        </w:rPr>
        <w:t>： 杨蓓娟0513-86860217</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highlight w:val="none"/>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431</w:t>
      </w:r>
      <w:r>
        <w:rPr>
          <w:rFonts w:hint="eastAsia" w:ascii="仿宋" w:hAnsi="仿宋" w:eastAsia="仿宋" w:cs="仿宋"/>
          <w:highlight w:val="none"/>
          <w:shd w:val="clear" w:color="auto" w:fill="FFFFFF"/>
          <w:lang w:val="zh-CN"/>
        </w:rPr>
        <w:t>室</w:t>
      </w:r>
      <w:bookmarkStart w:id="1" w:name="_GoBack"/>
      <w:bookmarkEnd w:id="1"/>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kern w:val="0"/>
          <w:sz w:val="24"/>
          <w:szCs w:val="24"/>
          <w:highlight w:val="none"/>
          <w:shd w:val="clear" w:color="auto" w:fill="auto"/>
          <w:lang w:val="en-US" w:eastAsia="zh-CN" w:bidi="ar-SA"/>
        </w:rPr>
      </w:pPr>
      <w:r>
        <w:rPr>
          <w:rFonts w:hint="eastAsia" w:ascii="仿宋" w:hAnsi="仿宋" w:eastAsia="仿宋" w:cs="仿宋"/>
          <w:kern w:val="0"/>
          <w:sz w:val="24"/>
          <w:szCs w:val="24"/>
          <w:highlight w:val="none"/>
          <w:shd w:val="clear" w:color="auto" w:fill="auto"/>
          <w:lang w:val="en-US" w:eastAsia="zh-CN" w:bidi="ar-SA"/>
        </w:rPr>
        <w:t xml:space="preserve">技术咨询 </w:t>
      </w:r>
      <w:r>
        <w:rPr>
          <w:rFonts w:hint="eastAsia" w:ascii="仿宋" w:hAnsi="仿宋" w:eastAsia="仿宋" w:cs="仿宋"/>
          <w:highlight w:val="none"/>
          <w:shd w:val="clear" w:color="auto" w:fill="FFFFFF"/>
          <w:lang w:val="en-US" w:eastAsia="zh-CN"/>
        </w:rPr>
        <w:t>胡培军</w:t>
      </w:r>
      <w:r>
        <w:rPr>
          <w:rFonts w:hint="eastAsia" w:ascii="仿宋" w:hAnsi="仿宋" w:eastAsia="仿宋" w:cs="仿宋"/>
          <w:kern w:val="0"/>
          <w:sz w:val="24"/>
          <w:szCs w:val="24"/>
          <w:highlight w:val="none"/>
          <w:shd w:val="clear" w:color="auto" w:fill="auto"/>
          <w:lang w:val="en-US" w:eastAsia="zh-CN" w:bidi="ar-SA"/>
        </w:rPr>
        <w:t xml:space="preserve"> 电话：0513-86560358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 xml:space="preserve"> 周  娜 </w:t>
      </w:r>
      <w:r>
        <w:rPr>
          <w:rFonts w:hint="eastAsia" w:ascii="仿宋" w:hAnsi="仿宋" w:eastAsia="仿宋" w:cs="仿宋"/>
          <w:highlight w:val="none"/>
          <w:shd w:val="clear" w:color="auto" w:fill="FFFFFF"/>
          <w:lang w:val="zh-CN"/>
        </w:rPr>
        <w:t>电话：</w:t>
      </w:r>
      <w:r>
        <w:rPr>
          <w:rFonts w:hint="eastAsia" w:ascii="仿宋" w:hAnsi="仿宋" w:eastAsia="仿宋" w:cs="仿宋"/>
          <w:highlight w:val="none"/>
          <w:shd w:val="clear" w:color="auto" w:fill="FFFFFF"/>
          <w:lang w:val="en-US" w:eastAsia="zh-CN"/>
        </w:rPr>
        <w:t>13921677603</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sz w:val="24"/>
          <w:highlight w:val="none"/>
          <w:lang w:val="en-US" w:eastAsia="zh-CN"/>
        </w:rPr>
      </w:pPr>
      <w:r>
        <w:rPr>
          <w:rFonts w:hint="eastAsia" w:ascii="仿宋" w:hAnsi="仿宋" w:eastAsia="仿宋"/>
          <w:sz w:val="24"/>
          <w:highlight w:val="none"/>
          <w:lang w:val="zh-CN"/>
        </w:rPr>
        <w:t>采购监督 陈家辉 电话：0513-86</w:t>
      </w:r>
      <w:r>
        <w:rPr>
          <w:rFonts w:hint="eastAsia" w:ascii="仿宋" w:hAnsi="仿宋" w:eastAsia="仿宋"/>
          <w:sz w:val="24"/>
          <w:highlight w:val="none"/>
          <w:lang w:val="en-US" w:eastAsia="zh-CN"/>
        </w:rPr>
        <w:t>860032</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320" w:firstLineChars="18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w:t>
      </w:r>
      <w:r>
        <w:rPr>
          <w:rFonts w:hint="eastAsia" w:ascii="仿宋" w:hAnsi="仿宋" w:eastAsia="仿宋" w:cs="仿宋"/>
          <w:highlight w:val="none"/>
          <w:shd w:val="clear" w:color="auto" w:fill="FFFFFF"/>
          <w:lang w:val="zh-CN" w:eastAsia="zh-CN"/>
        </w:rPr>
        <w:t>机场集团</w:t>
      </w:r>
      <w:r>
        <w:rPr>
          <w:rFonts w:hint="eastAsia" w:ascii="仿宋" w:hAnsi="仿宋" w:eastAsia="仿宋" w:cs="仿宋"/>
          <w:highlight w:val="none"/>
          <w:shd w:val="clear" w:color="auto" w:fill="FFFFFF"/>
          <w:lang w:val="zh-CN"/>
        </w:rPr>
        <w:t>有限公司</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 xml:space="preserve">                                     2024年9月2日</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响应供应商应仔细阅读和检查磋商文件的全部内容。如发现缺页或附件不全，应及时向采购人提出，以便补齐。如有疑问，应在开标前以质疑函要求采购人对磋商文件予以澄清。</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如果澄清发出的时间距投标截止时间不足</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日，</w:t>
      </w:r>
      <w:r>
        <w:rPr>
          <w:rFonts w:hint="eastAsia" w:ascii="仿宋" w:hAnsi="仿宋" w:eastAsia="仿宋" w:cs="仿宋"/>
          <w:highlight w:val="none"/>
          <w:shd w:val="clear" w:color="auto" w:fill="FFFFFF"/>
          <w:lang w:val="en-US" w:eastAsia="zh-CN"/>
        </w:rPr>
        <w:t>采购人</w:t>
      </w:r>
      <w:r>
        <w:rPr>
          <w:rFonts w:hint="eastAsia" w:ascii="仿宋" w:hAnsi="仿宋" w:eastAsia="仿宋" w:cs="仿宋"/>
          <w:highlight w:val="none"/>
          <w:shd w:val="clear" w:color="auto" w:fill="FFFFFF"/>
          <w:lang w:val="zh-CN" w:eastAsia="zh-CN"/>
        </w:rPr>
        <w:t>相应延长投标截止时间。</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3、磋商文件的修改和澄清将在南通兴东国际机场官网公布，补充文件将作为磋商文件的组成部分，并对响应供应商具有约束力。</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对于内容、格式符合规定的质疑函，采购人应当在收到投标供应商的书面质疑后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磋商文件第四章响应文件格式有提供格式的应采用提供的格式编写，未提供格式的响应供应商可自行确定格式。</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响应文件组成</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价格包（一正一副）</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（2）投标函。</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资格审查包（一正一副）</w:t>
      </w:r>
    </w:p>
    <w:p>
      <w:pPr>
        <w:pStyle w:val="8"/>
        <w:widowControl/>
        <w:shd w:val="clear" w:color="auto" w:fill="FFFFFF"/>
        <w:spacing w:beforeAutospacing="0" w:afterAutospacing="0" w:line="360" w:lineRule="auto"/>
        <w:ind w:left="719" w:leftChars="228" w:hanging="240" w:hangingChars="100"/>
        <w:jc w:val="both"/>
        <w:rPr>
          <w:rFonts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）法人代表投标的，提供法定代表人身份证明书和法定代表人身份证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zh-CN"/>
        </w:rPr>
        <w:t>非法人代表投标：提供法定代表人授权委托书和竞谈响应人代表身份证</w:t>
      </w:r>
      <w:r>
        <w:rPr>
          <w:rFonts w:hint="eastAsia" w:ascii="仿宋" w:hAnsi="仿宋" w:eastAsia="仿宋" w:cs="仿宋"/>
          <w:highlight w:val="none"/>
          <w:shd w:val="clear" w:color="auto" w:fill="FFFFFF"/>
        </w:rPr>
        <w:t>复印</w:t>
      </w:r>
      <w:r>
        <w:rPr>
          <w:rFonts w:hint="eastAsia" w:ascii="仿宋" w:hAnsi="仿宋" w:eastAsia="仿宋" w:cs="仿宋"/>
          <w:highlight w:val="none"/>
          <w:shd w:val="clear" w:color="auto" w:fill="FFFFFF"/>
          <w:lang w:val="zh-CN"/>
        </w:rPr>
        <w:t>件。</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）竞谈响应人承诺书；</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）响应供应商为响应供应商代表缴纳社保的证明，</w:t>
      </w:r>
      <w:r>
        <w:rPr>
          <w:rFonts w:hint="eastAsia" w:ascii="仿宋" w:hAnsi="仿宋" w:eastAsia="仿宋" w:cs="仿宋"/>
          <w:b w:val="0"/>
          <w:bCs w:val="0"/>
          <w:highlight w:val="none"/>
          <w:shd w:val="clear" w:color="auto" w:fill="FFFFFF"/>
          <w:lang w:eastAsia="zh-CN"/>
        </w:rPr>
        <w:t>提供开标前三个月的缴纳社会保障资金的记录材料</w:t>
      </w:r>
      <w:r>
        <w:rPr>
          <w:rFonts w:hint="eastAsia" w:ascii="仿宋" w:hAnsi="仿宋" w:eastAsia="仿宋" w:cs="仿宋"/>
          <w:highlight w:val="none"/>
          <w:shd w:val="clear" w:color="auto" w:fill="FFFFFF"/>
          <w:lang w:val="zh-CN" w:eastAsia="zh-CN"/>
        </w:rPr>
        <w:t>。法定代表人参加投标的，不用提供其缴纳社保的证明。</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商务技术包（一正一副）</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）技术偏离表；</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）按技术要求所需提供的材料；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）商务偏离表；</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）按商务要求所需提供的材料；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）其他磋商文件要求和响应供应商自认为应该提供的材料。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样品</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投标人须提供生米2kg，用袋子封装。</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2、响应文件编制</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（图纸除外，若页面大于A4，应叠成A4页面大小）材料书写或打印，响应文件副本可为正本（经签字盖章后）的复印件。</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3、响应文件签署</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）响应文件封面或者扉页、投标函及其附录及相应有要求的部位均应加盖单位章并经法定代表人或其授权的代理人签字确认（签字可使用签名章代替）。</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、响应文件密封</w:t>
      </w:r>
    </w:p>
    <w:p>
      <w:pPr>
        <w:pStyle w:val="8"/>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）响应文件封套加贴封条，并在封套的封口处加盖响应供应商单位章。</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）响应文件及材料原则上分</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个封套递交，“价格包”、“资格审查包”、“商务技术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、响应文件标记</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响应文件的封套上应写明的其他内容：</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（1）采购人名称、标段项目名称、响应供应商的名称及“价格包”、“资格审查包”、“商务技术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）在年月日时分前（即开标时间）不得开启。</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投标有效期：递交响应文件截止之日起的</w:t>
      </w:r>
      <w:r>
        <w:rPr>
          <w:rFonts w:hint="eastAsia" w:ascii="仿宋" w:hAnsi="仿宋" w:eastAsia="仿宋" w:cs="仿宋"/>
          <w:highlight w:val="none"/>
          <w:shd w:val="clear" w:color="auto" w:fill="FFFFFF"/>
          <w:lang w:val="en-US" w:eastAsia="zh-CN"/>
        </w:rPr>
        <w:t>60</w:t>
      </w:r>
      <w:r>
        <w:rPr>
          <w:rFonts w:hint="eastAsia" w:ascii="仿宋" w:hAnsi="仿宋" w:eastAsia="仿宋" w:cs="仿宋"/>
          <w:highlight w:val="none"/>
          <w:shd w:val="clear" w:color="auto" w:fill="FFFFFF"/>
          <w:lang w:val="zh-CN" w:eastAsia="zh-CN"/>
        </w:rPr>
        <w:t>天；</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最高</w:t>
      </w:r>
      <w:r>
        <w:rPr>
          <w:rFonts w:hint="eastAsia" w:ascii="仿宋" w:hAnsi="仿宋" w:eastAsia="仿宋" w:cs="仿宋"/>
          <w:highlight w:val="none"/>
          <w:shd w:val="clear" w:color="auto" w:fill="FFFFFF"/>
          <w:lang w:val="en-US" w:eastAsia="zh-CN"/>
        </w:rPr>
        <w:t>不</w:t>
      </w:r>
      <w:r>
        <w:rPr>
          <w:rFonts w:hint="eastAsia" w:ascii="仿宋" w:hAnsi="仿宋" w:eastAsia="仿宋" w:cs="仿宋"/>
          <w:highlight w:val="none"/>
          <w:shd w:val="clear" w:color="auto" w:fill="FFFFFF"/>
          <w:lang w:val="zh-CN"/>
        </w:rPr>
        <w:t>含税限价为：</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肆拾叁万零伍佰元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430500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zh-CN"/>
        </w:rPr>
        <w:t>竞谈响应人</w:t>
      </w:r>
      <w:r>
        <w:rPr>
          <w:rFonts w:hint="eastAsia" w:ascii="仿宋" w:hAnsi="仿宋" w:eastAsia="仿宋" w:cs="仿宋"/>
          <w:highlight w:val="none"/>
          <w:shd w:val="clear" w:color="auto" w:fill="FFFFFF"/>
          <w:lang w:val="zh-CN" w:eastAsia="zh-CN"/>
        </w:rPr>
        <w:t>对本次</w:t>
      </w:r>
      <w:r>
        <w:rPr>
          <w:rFonts w:hint="eastAsia" w:ascii="仿宋" w:hAnsi="仿宋" w:eastAsia="仿宋" w:cs="仿宋"/>
          <w:highlight w:val="none"/>
          <w:shd w:val="clear" w:color="auto" w:fill="FFFFFF"/>
          <w:lang w:val="en-US" w:eastAsia="zh-CN"/>
        </w:rPr>
        <w:t>大米采购</w:t>
      </w:r>
      <w:r>
        <w:rPr>
          <w:rFonts w:hint="eastAsia" w:ascii="仿宋" w:hAnsi="仿宋" w:eastAsia="仿宋" w:cs="仿宋"/>
          <w:highlight w:val="none"/>
          <w:shd w:val="clear" w:color="auto" w:fill="FFFFFF"/>
          <w:lang w:val="zh-CN" w:eastAsia="zh-CN"/>
        </w:rPr>
        <w:t>采购进行报价，报价包含与项目相关的所有费用，包括但不限于材料、包装物、运输、辅材、税款、检测等。</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开标截止时间后公布递交响应文件的响应供应商名称；</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评委对所有响应文件的密封、标记等情况进行核查，记录在案，并签字确认；</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评标委员对响应供应商资格、响应性进行审查，对合格响应供应商的响应文件进行技术评分；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4、评标委员会集中与响应供应商分别进行磋商，磋商内容以电话形式同时通知所有参加谈判的响应供应商，响应供应商就磋商结果确认；</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按照宣布的开标顺序当众开标，公布最终有效响应供应商名称、标段名称、投标报价及其他内容，并记录在案；</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6、最终有效响应供应商进行二次报价；</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公布采购结果。</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若响应供应商现场未提出异议，则认为响应供应商已确认宣读的内容。</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评标方法</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以综合评分法评标。</w:t>
      </w:r>
    </w:p>
    <w:tbl>
      <w:tblPr>
        <w:tblStyle w:val="9"/>
        <w:tblW w:w="95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757"/>
        <w:gridCol w:w="2537"/>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条款内容</w:t>
            </w:r>
          </w:p>
        </w:tc>
        <w:tc>
          <w:tcPr>
            <w:tcW w:w="7027" w:type="dxa"/>
            <w:gridSpan w:val="3"/>
            <w:noWrap w:val="0"/>
            <w:vAlign w:val="top"/>
          </w:tcPr>
          <w:p>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restart"/>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分值构成(总分100 分)</w:t>
            </w: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kern w:val="0"/>
                <w:position w:val="-2"/>
                <w:sz w:val="24"/>
                <w:szCs w:val="24"/>
                <w:highlight w:val="none"/>
              </w:rPr>
              <w:t>评分因素</w:t>
            </w:r>
          </w:p>
        </w:tc>
        <w:tc>
          <w:tcPr>
            <w:tcW w:w="3733" w:type="dxa"/>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pPr>
              <w:jc w:val="center"/>
              <w:rPr>
                <w:rFonts w:hint="eastAsia" w:ascii="仿宋" w:hAnsi="仿宋" w:eastAsia="仿宋" w:cs="仿宋"/>
                <w:sz w:val="24"/>
                <w:szCs w:val="24"/>
                <w:highlight w:val="none"/>
              </w:rPr>
            </w:pP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投标价格</w:t>
            </w:r>
          </w:p>
        </w:tc>
        <w:tc>
          <w:tcPr>
            <w:tcW w:w="3733" w:type="dxa"/>
            <w:noWrap w:val="0"/>
            <w:vAlign w:val="top"/>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pPr>
              <w:jc w:val="center"/>
              <w:rPr>
                <w:rFonts w:hint="eastAsia" w:ascii="仿宋" w:hAnsi="仿宋" w:eastAsia="仿宋" w:cs="仿宋"/>
                <w:sz w:val="24"/>
                <w:szCs w:val="24"/>
                <w:highlight w:val="none"/>
              </w:rPr>
            </w:pP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商务技术</w:t>
            </w:r>
            <w:r>
              <w:rPr>
                <w:rFonts w:hint="eastAsia" w:ascii="仿宋" w:hAnsi="仿宋" w:eastAsia="仿宋" w:cs="仿宋"/>
                <w:sz w:val="24"/>
                <w:szCs w:val="24"/>
                <w:highlight w:val="none"/>
              </w:rPr>
              <w:t>响应</w:t>
            </w:r>
          </w:p>
        </w:tc>
        <w:tc>
          <w:tcPr>
            <w:tcW w:w="3733" w:type="dxa"/>
            <w:noWrap w:val="0"/>
            <w:vAlign w:val="top"/>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评标基准价计算方法</w:t>
            </w:r>
          </w:p>
        </w:tc>
        <w:tc>
          <w:tcPr>
            <w:tcW w:w="7027" w:type="dxa"/>
            <w:gridSpan w:val="3"/>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评标价的计算步骤：</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（1）评标价的确定：评标价=投标报价</w:t>
            </w:r>
            <w:r>
              <w:rPr>
                <w:rFonts w:hint="eastAsia" w:ascii="仿宋" w:hAnsi="仿宋" w:eastAsia="仿宋" w:cs="仿宋"/>
                <w:sz w:val="24"/>
                <w:szCs w:val="24"/>
                <w:highlight w:val="none"/>
                <w:lang w:eastAsia="zh-CN"/>
              </w:rPr>
              <w:t>（不含税）</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（2）有效评标价的确定所有通过评审的投标文件的评标价</w:t>
            </w:r>
            <w:r>
              <w:rPr>
                <w:rFonts w:hint="eastAsia" w:ascii="仿宋" w:hAnsi="仿宋" w:eastAsia="仿宋" w:cs="仿宋"/>
                <w:sz w:val="24"/>
                <w:szCs w:val="24"/>
                <w:highlight w:val="none"/>
                <w:lang w:eastAsia="zh-CN"/>
              </w:rPr>
              <w:t>（不含税）</w:t>
            </w:r>
            <w:r>
              <w:rPr>
                <w:rFonts w:hint="eastAsia" w:ascii="仿宋" w:hAnsi="仿宋" w:eastAsia="仿宋" w:cs="仿宋"/>
                <w:sz w:val="24"/>
                <w:szCs w:val="24"/>
                <w:highlight w:val="none"/>
              </w:rPr>
              <w:t>为有效评标价</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评标基准</w:t>
            </w:r>
            <w:r>
              <w:rPr>
                <w:rFonts w:hint="eastAsia" w:ascii="仿宋" w:hAnsi="仿宋" w:eastAsia="仿宋" w:cs="仿宋"/>
                <w:sz w:val="24"/>
                <w:szCs w:val="24"/>
                <w:highlight w:val="none"/>
              </w:rPr>
              <w:t>价的计算：所有有效评标价</w:t>
            </w:r>
            <w:r>
              <w:rPr>
                <w:rFonts w:hint="eastAsia" w:ascii="仿宋" w:hAnsi="仿宋" w:eastAsia="仿宋" w:cs="仿宋"/>
                <w:sz w:val="24"/>
                <w:szCs w:val="24"/>
                <w:highlight w:val="none"/>
                <w:lang w:eastAsia="zh-CN"/>
              </w:rPr>
              <w:t>最低报价</w:t>
            </w:r>
            <w:r>
              <w:rPr>
                <w:rFonts w:hint="eastAsia" w:ascii="仿宋" w:hAnsi="仿宋" w:eastAsia="仿宋" w:cs="仿宋"/>
                <w:sz w:val="24"/>
                <w:szCs w:val="24"/>
                <w:highlight w:val="none"/>
              </w:rPr>
              <w:t>即为有效评标</w:t>
            </w:r>
            <w:r>
              <w:rPr>
                <w:rFonts w:hint="eastAsia" w:ascii="仿宋" w:hAnsi="仿宋" w:eastAsia="仿宋" w:cs="仿宋"/>
                <w:sz w:val="24"/>
                <w:szCs w:val="24"/>
                <w:highlight w:val="none"/>
                <w:lang w:eastAsia="zh-CN"/>
              </w:rPr>
              <w:t>基准</w:t>
            </w:r>
            <w:r>
              <w:rPr>
                <w:rFonts w:hint="eastAsia" w:ascii="仿宋" w:hAnsi="仿宋" w:eastAsia="仿宋" w:cs="仿宋"/>
                <w:sz w:val="24"/>
                <w:szCs w:val="24"/>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投标报</w:t>
            </w:r>
            <w:r>
              <w:rPr>
                <w:rFonts w:hint="eastAsia" w:ascii="仿宋" w:hAnsi="仿宋" w:eastAsia="仿宋" w:cs="仿宋"/>
                <w:spacing w:val="-1"/>
                <w:kern w:val="0"/>
                <w:sz w:val="24"/>
                <w:szCs w:val="24"/>
                <w:highlight w:val="none"/>
              </w:rPr>
              <w:t>价偏</w:t>
            </w:r>
            <w:r>
              <w:rPr>
                <w:rFonts w:hint="eastAsia" w:ascii="仿宋" w:hAnsi="仿宋" w:eastAsia="仿宋" w:cs="仿宋"/>
                <w:kern w:val="0"/>
                <w:sz w:val="24"/>
                <w:szCs w:val="24"/>
                <w:highlight w:val="none"/>
              </w:rPr>
              <w:t>差率计算</w:t>
            </w:r>
            <w:r>
              <w:rPr>
                <w:rFonts w:hint="eastAsia" w:ascii="仿宋" w:hAnsi="仿宋" w:eastAsia="仿宋" w:cs="仿宋"/>
                <w:kern w:val="0"/>
                <w:sz w:val="24"/>
                <w:szCs w:val="24"/>
                <w:highlight w:val="none"/>
                <w:lang w:eastAsia="zh-CN"/>
              </w:rPr>
              <w:t>方法</w:t>
            </w:r>
          </w:p>
        </w:tc>
        <w:tc>
          <w:tcPr>
            <w:tcW w:w="7027" w:type="dxa"/>
            <w:gridSpan w:val="3"/>
            <w:noWrap w:val="0"/>
            <w:vAlign w:val="center"/>
          </w:tcPr>
          <w:p>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最低价：</w:t>
            </w:r>
            <w:r>
              <w:rPr>
                <w:rFonts w:hint="eastAsia" w:ascii="仿宋" w:hAnsi="仿宋" w:eastAsia="仿宋" w:cs="仿宋"/>
                <w:sz w:val="24"/>
                <w:szCs w:val="24"/>
                <w:highlight w:val="none"/>
              </w:rPr>
              <w:t>偏差率=100%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评标基准价/</w:t>
            </w:r>
            <w:r>
              <w:rPr>
                <w:rFonts w:hint="eastAsia" w:ascii="仿宋" w:hAnsi="仿宋" w:eastAsia="仿宋" w:cs="仿宋"/>
                <w:sz w:val="24"/>
                <w:szCs w:val="24"/>
                <w:highlight w:val="none"/>
                <w:lang w:eastAsia="zh-CN"/>
              </w:rPr>
              <w:t>竞谈响应人评标</w:t>
            </w:r>
            <w:r>
              <w:rPr>
                <w:rFonts w:hint="eastAsia" w:ascii="仿宋" w:hAnsi="仿宋" w:eastAsia="仿宋" w:cs="仿宋"/>
                <w:sz w:val="24"/>
                <w:szCs w:val="24"/>
                <w:highlight w:val="none"/>
              </w:rPr>
              <w:t>价</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5" w:type="dxa"/>
            <w:gridSpan w:val="4"/>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757"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6270"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评标价</w:t>
            </w:r>
          </w:p>
        </w:tc>
        <w:tc>
          <w:tcPr>
            <w:tcW w:w="757" w:type="dxa"/>
            <w:noWrap w:val="0"/>
            <w:vAlign w:val="center"/>
          </w:tcPr>
          <w:p>
            <w:pPr>
              <w:spacing w:line="240" w:lineRule="atLeas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70</w:t>
            </w:r>
            <w:r>
              <w:rPr>
                <w:rFonts w:hint="eastAsia" w:ascii="仿宋" w:hAnsi="仿宋" w:eastAsia="仿宋" w:cs="仿宋"/>
                <w:sz w:val="24"/>
                <w:szCs w:val="24"/>
                <w:highlight w:val="none"/>
              </w:rPr>
              <w:t>分</w:t>
            </w:r>
          </w:p>
        </w:tc>
        <w:tc>
          <w:tcPr>
            <w:tcW w:w="6270" w:type="dxa"/>
            <w:gridSpan w:val="2"/>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最低价：以评标基准价为基准分</w:t>
            </w:r>
            <w:r>
              <w:rPr>
                <w:rFonts w:hint="eastAsia" w:ascii="仿宋" w:hAnsi="仿宋" w:eastAsia="仿宋" w:cs="仿宋"/>
                <w:sz w:val="24"/>
                <w:szCs w:val="24"/>
                <w:highlight w:val="none"/>
                <w:lang w:val="en-US" w:eastAsia="zh-CN"/>
              </w:rPr>
              <w:t>70分，投标单位的报价得分</w:t>
            </w:r>
            <w:r>
              <w:rPr>
                <w:rFonts w:hint="eastAsia" w:ascii="仿宋" w:hAnsi="仿宋" w:eastAsia="仿宋" w:cs="仿宋"/>
                <w:sz w:val="24"/>
                <w:szCs w:val="24"/>
                <w:highlight w:val="none"/>
              </w:rPr>
              <w:t>（报价得分值保留二位小数，最小计分单位为0.01分）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评标基准价/</w:t>
            </w:r>
            <w:r>
              <w:rPr>
                <w:rFonts w:hint="eastAsia" w:ascii="仿宋" w:hAnsi="仿宋" w:eastAsia="仿宋" w:cs="仿宋"/>
                <w:sz w:val="24"/>
                <w:szCs w:val="24"/>
                <w:highlight w:val="none"/>
                <w:lang w:eastAsia="zh-CN"/>
              </w:rPr>
              <w:t>竞谈响应人评标</w:t>
            </w:r>
            <w:r>
              <w:rPr>
                <w:rFonts w:hint="eastAsia" w:ascii="仿宋" w:hAnsi="仿宋" w:eastAsia="仿宋" w:cs="仿宋"/>
                <w:sz w:val="24"/>
                <w:szCs w:val="24"/>
                <w:highlight w:val="none"/>
              </w:rPr>
              <w:t>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70</w:t>
            </w:r>
            <w:r>
              <w:rPr>
                <w:rFonts w:hint="eastAsia" w:ascii="仿宋" w:hAnsi="仿宋" w:eastAsia="仿宋" w:cs="仿宋"/>
                <w:sz w:val="24"/>
                <w:szCs w:val="24"/>
                <w:highlight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vertAlign w:val="baseline"/>
                <w:lang w:val="en-US" w:eastAsia="zh-CN"/>
              </w:rPr>
              <w:t>样品</w:t>
            </w:r>
          </w:p>
        </w:tc>
        <w:tc>
          <w:tcPr>
            <w:tcW w:w="757" w:type="dxa"/>
            <w:noWrap w:val="0"/>
            <w:vAlign w:val="center"/>
          </w:tcPr>
          <w:p>
            <w:pPr>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vertAlign w:val="baseline"/>
                <w:lang w:val="en-US" w:eastAsia="zh-CN"/>
              </w:rPr>
              <w:t>20分</w:t>
            </w:r>
          </w:p>
        </w:tc>
        <w:tc>
          <w:tcPr>
            <w:tcW w:w="6270" w:type="dxa"/>
            <w:gridSpan w:val="2"/>
            <w:noWrap w:val="0"/>
            <w:vAlign w:val="center"/>
          </w:tcPr>
          <w:p>
            <w:pPr>
              <w:numPr>
                <w:ilvl w:val="0"/>
                <w:numId w:val="0"/>
              </w:numPr>
              <w:spacing w:line="240" w:lineRule="atLeast"/>
              <w:ind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1.生米（10分）：</w:t>
            </w:r>
            <w:r>
              <w:rPr>
                <w:rFonts w:hint="eastAsia" w:ascii="仿宋" w:hAnsi="仿宋" w:eastAsia="仿宋" w:cs="仿宋"/>
                <w:sz w:val="24"/>
                <w:szCs w:val="24"/>
                <w:highlight w:val="none"/>
                <w:lang w:eastAsia="zh-CN"/>
              </w:rPr>
              <w:t>根据大米的米粒形态、碎米粒、不完善粒等物理指标及色泽、气味有无异常。满分</w:t>
            </w:r>
            <w:r>
              <w:rPr>
                <w:rFonts w:hint="eastAsia" w:ascii="仿宋" w:hAnsi="仿宋" w:eastAsia="仿宋" w:cs="仿宋"/>
                <w:sz w:val="24"/>
                <w:szCs w:val="24"/>
                <w:highlight w:val="none"/>
                <w:lang w:val="en-US" w:eastAsia="zh-CN"/>
              </w:rPr>
              <w:t>10分，优[10.0-8.5]分，良(8.4-7.0]分，一般(6.9-5.0]分，差(4.9-0.1]分</w:t>
            </w:r>
            <w:r>
              <w:rPr>
                <w:rFonts w:hint="eastAsia" w:ascii="仿宋" w:hAnsi="仿宋" w:eastAsia="仿宋" w:cs="仿宋"/>
                <w:sz w:val="24"/>
                <w:szCs w:val="24"/>
                <w:highlight w:val="none"/>
                <w:lang w:eastAsia="zh-CN"/>
              </w:rPr>
              <w:t>；</w:t>
            </w:r>
          </w:p>
          <w:p>
            <w:pPr>
              <w:pStyle w:val="5"/>
              <w:numPr>
                <w:ilvl w:val="0"/>
                <w:numId w:val="0"/>
              </w:numPr>
              <w:ind w:leftChars="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2.成品（10分）：</w:t>
            </w:r>
            <w:r>
              <w:rPr>
                <w:rFonts w:hint="eastAsia" w:ascii="仿宋" w:hAnsi="仿宋" w:eastAsia="仿宋" w:cs="仿宋"/>
                <w:color w:val="auto"/>
                <w:sz w:val="24"/>
                <w:szCs w:val="24"/>
                <w:highlight w:val="none"/>
                <w:lang w:val="en-US" w:eastAsia="zh-CN"/>
              </w:rPr>
              <w:t>样品蒸熟后，根据大米外观、口感</w:t>
            </w:r>
            <w:r>
              <w:rPr>
                <w:rFonts w:hint="eastAsia" w:ascii="仿宋" w:hAnsi="仿宋" w:eastAsia="仿宋" w:cs="仿宋"/>
                <w:color w:val="auto"/>
                <w:sz w:val="24"/>
                <w:szCs w:val="24"/>
                <w:highlight w:val="none"/>
                <w:lang w:eastAsia="zh-CN"/>
              </w:rPr>
              <w:t>。满分</w:t>
            </w:r>
            <w:r>
              <w:rPr>
                <w:rFonts w:hint="eastAsia" w:ascii="仿宋" w:hAnsi="仿宋" w:eastAsia="仿宋" w:cs="仿宋"/>
                <w:color w:val="auto"/>
                <w:sz w:val="24"/>
                <w:szCs w:val="24"/>
                <w:highlight w:val="none"/>
                <w:lang w:val="en-US" w:eastAsia="zh-CN"/>
              </w:rPr>
              <w:t>10分，优[10.0-8.5]分，良(8.4-7.0]分，一般(6.9-5.0]分，差(4.9-0.1]分。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营业能力</w:t>
            </w:r>
          </w:p>
        </w:tc>
        <w:tc>
          <w:tcPr>
            <w:tcW w:w="757" w:type="dxa"/>
            <w:noWrap w:val="0"/>
            <w:vAlign w:val="center"/>
          </w:tcPr>
          <w:p>
            <w:p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c>
        <w:tc>
          <w:tcPr>
            <w:tcW w:w="6270" w:type="dxa"/>
            <w:gridSpan w:val="2"/>
            <w:noWrap w:val="0"/>
            <w:vAlign w:val="top"/>
          </w:tcPr>
          <w:p>
            <w:pPr>
              <w:shd w:val="clear" w:color="auto" w:fill="auto"/>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响应人提供2021年以来，</w:t>
            </w:r>
            <w:r>
              <w:rPr>
                <w:rFonts w:hint="eastAsia" w:ascii="仿宋" w:hAnsi="仿宋" w:eastAsia="仿宋" w:cs="仿宋"/>
                <w:color w:val="auto"/>
                <w:sz w:val="24"/>
                <w:szCs w:val="24"/>
                <w:highlight w:val="none"/>
                <w:lang w:eastAsia="zh-CN"/>
              </w:rPr>
              <w:t>同类业绩年供货</w:t>
            </w:r>
            <w:r>
              <w:rPr>
                <w:rFonts w:hint="eastAsia" w:ascii="仿宋" w:hAnsi="仿宋" w:eastAsia="仿宋" w:cs="仿宋"/>
                <w:color w:val="auto"/>
                <w:sz w:val="24"/>
                <w:szCs w:val="24"/>
                <w:highlight w:val="none"/>
                <w:lang w:val="en-US" w:eastAsia="zh-CN"/>
              </w:rPr>
              <w:t>45万以上，每1例加2分；</w:t>
            </w:r>
            <w:r>
              <w:rPr>
                <w:rFonts w:hint="eastAsia" w:ascii="仿宋" w:hAnsi="仿宋" w:eastAsia="仿宋" w:cs="仿宋"/>
                <w:color w:val="auto"/>
                <w:sz w:val="24"/>
                <w:szCs w:val="24"/>
                <w:highlight w:val="none"/>
                <w:lang w:eastAsia="zh-CN"/>
              </w:rPr>
              <w:t>同类业绩年供货</w:t>
            </w:r>
            <w:r>
              <w:rPr>
                <w:rFonts w:hint="eastAsia" w:ascii="仿宋" w:hAnsi="仿宋" w:eastAsia="仿宋" w:cs="仿宋"/>
                <w:color w:val="auto"/>
                <w:sz w:val="24"/>
                <w:szCs w:val="24"/>
                <w:highlight w:val="none"/>
                <w:lang w:val="en-US" w:eastAsia="zh-CN"/>
              </w:rPr>
              <w:t>20万以上，每1例加1分。</w:t>
            </w:r>
            <w:r>
              <w:rPr>
                <w:rFonts w:hint="eastAsia" w:ascii="仿宋" w:hAnsi="仿宋" w:eastAsia="仿宋" w:cs="仿宋"/>
                <w:color w:val="000000"/>
                <w:kern w:val="0"/>
                <w:sz w:val="24"/>
                <w:szCs w:val="24"/>
                <w:highlight w:val="none"/>
                <w:shd w:val="clear" w:color="auto" w:fill="FFFFFF"/>
                <w:lang w:val="zh-CN" w:eastAsia="zh-CN" w:bidi="ar-SA"/>
              </w:rPr>
              <w:t>注：</w:t>
            </w:r>
            <w:r>
              <w:rPr>
                <w:rFonts w:hint="eastAsia" w:ascii="仿宋" w:hAnsi="仿宋" w:eastAsia="仿宋" w:cs="仿宋"/>
                <w:color w:val="000000"/>
                <w:kern w:val="0"/>
                <w:sz w:val="24"/>
                <w:szCs w:val="24"/>
                <w:highlight w:val="none"/>
                <w:shd w:val="clear" w:color="auto" w:fill="FFFFFF"/>
                <w:lang w:val="en-US" w:eastAsia="zh-CN" w:bidi="ar-SA"/>
              </w:rPr>
              <w:t>每一例业绩需</w:t>
            </w:r>
            <w:r>
              <w:rPr>
                <w:rFonts w:hint="eastAsia" w:ascii="仿宋" w:hAnsi="仿宋" w:eastAsia="仿宋" w:cs="仿宋"/>
                <w:color w:val="000000"/>
                <w:kern w:val="0"/>
                <w:sz w:val="24"/>
                <w:szCs w:val="24"/>
                <w:highlight w:val="none"/>
                <w:shd w:val="clear" w:color="auto" w:fill="FFFFFF"/>
                <w:lang w:val="zh-CN" w:eastAsia="zh-CN" w:bidi="ar-SA"/>
              </w:rPr>
              <w:t>提供合同复印件和合同对应金额不少于</w:t>
            </w:r>
            <w:r>
              <w:rPr>
                <w:rFonts w:hint="eastAsia" w:ascii="仿宋" w:hAnsi="仿宋" w:eastAsia="仿宋" w:cs="仿宋"/>
                <w:color w:val="000000"/>
                <w:kern w:val="0"/>
                <w:sz w:val="24"/>
                <w:szCs w:val="24"/>
                <w:highlight w:val="none"/>
                <w:shd w:val="clear" w:color="auto" w:fill="FFFFFF"/>
                <w:lang w:val="en-US" w:eastAsia="zh-CN" w:bidi="ar-SA"/>
              </w:rPr>
              <w:t>50</w:t>
            </w:r>
            <w:r>
              <w:rPr>
                <w:rFonts w:hint="eastAsia" w:ascii="仿宋" w:hAnsi="仿宋" w:eastAsia="仿宋" w:cs="仿宋"/>
                <w:color w:val="000000"/>
                <w:kern w:val="0"/>
                <w:sz w:val="24"/>
                <w:szCs w:val="24"/>
                <w:highlight w:val="none"/>
                <w:shd w:val="clear" w:color="auto" w:fill="FFFFFF"/>
                <w:lang w:val="zh-CN" w:eastAsia="zh-CN" w:bidi="ar-SA"/>
              </w:rPr>
              <w:t>%的费用结算发票；同一投标人同一</w:t>
            </w:r>
            <w:r>
              <w:rPr>
                <w:rFonts w:hint="eastAsia" w:ascii="仿宋" w:hAnsi="仿宋" w:eastAsia="仿宋" w:cs="仿宋"/>
                <w:color w:val="000000"/>
                <w:kern w:val="0"/>
                <w:sz w:val="24"/>
                <w:szCs w:val="24"/>
                <w:highlight w:val="none"/>
                <w:shd w:val="clear" w:color="auto" w:fill="FFFFFF"/>
                <w:lang w:val="en-US" w:eastAsia="zh-CN" w:bidi="ar-SA"/>
              </w:rPr>
              <w:t>单位的业</w:t>
            </w:r>
            <w:r>
              <w:rPr>
                <w:rFonts w:hint="eastAsia" w:ascii="仿宋" w:hAnsi="仿宋" w:eastAsia="仿宋" w:cs="仿宋"/>
                <w:color w:val="000000"/>
                <w:kern w:val="0"/>
                <w:sz w:val="24"/>
                <w:szCs w:val="24"/>
                <w:highlight w:val="none"/>
                <w:shd w:val="clear" w:color="auto" w:fill="FFFFFF"/>
                <w:lang w:val="zh-CN" w:eastAsia="zh-CN" w:bidi="ar-SA"/>
              </w:rPr>
              <w:t>绩</w:t>
            </w:r>
            <w:r>
              <w:rPr>
                <w:rFonts w:hint="eastAsia" w:ascii="仿宋" w:hAnsi="仿宋" w:eastAsia="仿宋" w:cs="仿宋"/>
                <w:color w:val="000000"/>
                <w:kern w:val="0"/>
                <w:sz w:val="24"/>
                <w:szCs w:val="24"/>
                <w:highlight w:val="none"/>
                <w:shd w:val="clear" w:color="auto" w:fill="FFFFFF"/>
                <w:lang w:val="en-US" w:eastAsia="zh-CN" w:bidi="ar-SA"/>
              </w:rPr>
              <w:t>取最高金额的业绩</w:t>
            </w:r>
            <w:r>
              <w:rPr>
                <w:rFonts w:hint="eastAsia" w:ascii="仿宋" w:hAnsi="仿宋" w:eastAsia="仿宋" w:cs="仿宋"/>
                <w:color w:val="000000"/>
                <w:kern w:val="0"/>
                <w:sz w:val="24"/>
                <w:szCs w:val="24"/>
                <w:highlight w:val="none"/>
                <w:shd w:val="clear" w:color="auto" w:fill="FFFFFF"/>
                <w:lang w:val="zh-CN" w:eastAsia="zh-CN" w:bidi="ar-SA"/>
              </w:rPr>
              <w:t>按一例计算</w:t>
            </w:r>
            <w:r>
              <w:rPr>
                <w:rFonts w:hint="eastAsia" w:ascii="仿宋" w:hAnsi="仿宋" w:eastAsia="仿宋" w:cs="仿宋"/>
                <w:color w:val="auto"/>
                <w:sz w:val="24"/>
                <w:szCs w:val="24"/>
                <w:highlight w:val="none"/>
                <w:lang w:val="en-US" w:eastAsia="zh-CN"/>
              </w:rPr>
              <w:t>，满分7分。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trike w:val="0"/>
                <w:dstrike w:val="0"/>
                <w:sz w:val="24"/>
                <w:szCs w:val="24"/>
                <w:highlight w:val="none"/>
                <w:lang w:eastAsia="zh-CN"/>
              </w:rPr>
              <w:t>售后服务</w:t>
            </w:r>
          </w:p>
        </w:tc>
        <w:tc>
          <w:tcPr>
            <w:tcW w:w="757"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c>
          <w:tcPr>
            <w:tcW w:w="6270" w:type="dxa"/>
            <w:gridSpan w:val="2"/>
            <w:noWrap w:val="0"/>
            <w:vAlign w:val="top"/>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对投标人提供的售后服务体系进行综合横向评价，售后服务方案应包括配备的售后服务机构和人员、售后服务承诺（质量、换货、退货、赔偿等）、售后服务应答及处理时间等。售后服务评价：</w:t>
            </w:r>
            <w:r>
              <w:rPr>
                <w:rFonts w:hint="eastAsia" w:ascii="仿宋" w:hAnsi="仿宋" w:eastAsia="仿宋" w:cs="仿宋"/>
                <w:kern w:val="0"/>
                <w:sz w:val="24"/>
                <w:szCs w:val="24"/>
                <w:highlight w:val="none"/>
                <w:lang w:val="en-US" w:eastAsia="zh-CN"/>
              </w:rPr>
              <w:t>满分3分，</w:t>
            </w:r>
            <w:r>
              <w:rPr>
                <w:rFonts w:hint="eastAsia" w:ascii="仿宋" w:hAnsi="仿宋" w:eastAsia="仿宋" w:cs="仿宋"/>
                <w:color w:val="auto"/>
                <w:sz w:val="24"/>
                <w:szCs w:val="24"/>
                <w:highlight w:val="none"/>
                <w:lang w:val="en-US" w:eastAsia="zh-CN"/>
              </w:rPr>
              <w:t>优[3.0-2.5]分，良(2.5-2.1]分，一般(2.1-1.5]分，差(1.5-0.1]分。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88"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027" w:type="dxa"/>
            <w:gridSpan w:val="3"/>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1、技术响应部分最小计分单位为0.1分。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2、评标委员会成员评审计分工作实行实名制。将所有评标委员会成员评分的算术平均值作为</w:t>
            </w:r>
            <w:r>
              <w:rPr>
                <w:rFonts w:hint="eastAsia" w:ascii="仿宋" w:hAnsi="仿宋" w:eastAsia="仿宋" w:cs="仿宋"/>
                <w:sz w:val="24"/>
                <w:szCs w:val="24"/>
                <w:highlight w:val="none"/>
                <w:lang w:eastAsia="zh-CN"/>
              </w:rPr>
              <w:t>竞谈响应人</w:t>
            </w:r>
            <w:r>
              <w:rPr>
                <w:rFonts w:hint="eastAsia" w:ascii="仿宋" w:hAnsi="仿宋" w:eastAsia="仿宋" w:cs="仿宋"/>
                <w:sz w:val="24"/>
                <w:szCs w:val="24"/>
                <w:highlight w:val="none"/>
              </w:rPr>
              <w:t>的综合得分，评分分值计算保留小数点后两位，小数点后第三位“四舍五入”；评标委员会按每个</w:t>
            </w:r>
            <w:r>
              <w:rPr>
                <w:rFonts w:hint="eastAsia" w:ascii="仿宋" w:hAnsi="仿宋" w:eastAsia="仿宋" w:cs="仿宋"/>
                <w:sz w:val="24"/>
                <w:szCs w:val="24"/>
                <w:highlight w:val="none"/>
                <w:lang w:eastAsia="zh-CN"/>
              </w:rPr>
              <w:t>竞谈响应人</w:t>
            </w:r>
            <w:r>
              <w:rPr>
                <w:rFonts w:hint="eastAsia" w:ascii="仿宋" w:hAnsi="仿宋" w:eastAsia="仿宋" w:cs="仿宋"/>
                <w:sz w:val="24"/>
                <w:szCs w:val="24"/>
                <w:highlight w:val="none"/>
              </w:rPr>
              <w:t>的综合得分从高到低进行排序，并据此推荐中标候选人。</w:t>
            </w:r>
          </w:p>
        </w:tc>
      </w:tr>
    </w:tbl>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（1）评标委员会提出的书面报告，按得分由高到低顺序推荐中标候选人，采购人根据得分第一的确定为成交人。</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）如果得分第一的中标候选人放弃中标、因不可抗力提出不能履行合同或者磋商文件规定应当提交履约担保而在规定期限未能提交的，采购人</w:t>
      </w:r>
      <w:r>
        <w:rPr>
          <w:rFonts w:hint="eastAsia" w:ascii="仿宋" w:hAnsi="仿宋" w:eastAsia="仿宋" w:cs="仿宋"/>
          <w:highlight w:val="none"/>
          <w:shd w:val="clear" w:color="auto" w:fill="FFFFFF"/>
          <w:lang w:val="en-US" w:eastAsia="zh-CN"/>
        </w:rPr>
        <w:t>可</w:t>
      </w:r>
      <w:r>
        <w:rPr>
          <w:rFonts w:hint="eastAsia" w:ascii="仿宋" w:hAnsi="仿宋" w:eastAsia="仿宋" w:cs="仿宋"/>
          <w:highlight w:val="none"/>
          <w:shd w:val="clear" w:color="auto" w:fill="FFFFFF"/>
          <w:lang w:val="zh-CN" w:eastAsia="zh-CN"/>
        </w:rPr>
        <w:t>依法确定得分第二的中标候选人为成交人，依此类推，当所有中标候选人因上述原因不能签订合同的，采购人将依法重新招标。</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中标公示</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rPr>
        <w:t>在南通兴东机场官网上公布采购结果</w:t>
      </w:r>
      <w:r>
        <w:rPr>
          <w:rFonts w:hint="eastAsia" w:ascii="仿宋" w:hAnsi="仿宋" w:eastAsia="仿宋" w:cs="仿宋"/>
          <w:highlight w:val="none"/>
          <w:shd w:val="clear" w:color="auto" w:fill="FFFFFF"/>
          <w:lang w:val="zh-CN" w:eastAsia="zh-CN"/>
        </w:rPr>
        <w:t>，公示期为3个工作日。</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履约担保</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在签订合同前，成交人应向采购人提交履约金，成交人不能提交履约担保的，视为放弃中标。给采购人造成损失的，成交人还应当予以赔偿。履约金在合同履行完成后无息退还。</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签订合同</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成交人应当自中标通知书发出之日起30天内，根据磋商文件和成交人的响应文件与采购人订立书面合同。成交人无正当理由拒签合同的，采购人取消其中标资格。给采购人造成的损失，成交人还应当予以赔偿。</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重新招标和不再招标</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）响应文件未按磋商文件要求签署、盖章的；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）响应供应商在报价时采用选择性报价；</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）不具备磋商文件中规定的资格要求的；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）报价超过磋商文件中规定的预算金额或者最高限价的；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）响应文件含有采购人不能接受的附加条件的;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）未通过符合性检查的；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）不符合磋商文件中规定的其他实质性要求和条件的；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）法律、法规及本磋商文件规定的属无效投标的情形。</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）评标委员会认定磋商文件存在歧义、重大缺陷导致评审工作无法进行。</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）投标截止时间止，有效响应供应商少于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）经评标委员会评审后否决所有投标的；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）符合国家、省、市采购磋商文件中规定情形，导致中标无效，并且应当重新招标的。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不再招标</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）重新采购后有效竞谈响应人仍少于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有效竞谈响应人只有2个的，符合竞争继续进行；</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有效竞谈响应人只有1个的，改为商务谈判。</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一、项目概述</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南通机场集团有限公司对大米进行公开采购。</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二、技术要求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1、技术参数</w:t>
      </w:r>
    </w:p>
    <w:tbl>
      <w:tblPr>
        <w:tblStyle w:val="10"/>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59"/>
        <w:gridCol w:w="1209"/>
        <w:gridCol w:w="1209"/>
        <w:gridCol w:w="1138"/>
        <w:gridCol w:w="1821"/>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59"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名称</w:t>
            </w:r>
          </w:p>
        </w:tc>
        <w:tc>
          <w:tcPr>
            <w:tcW w:w="1209"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使用部门</w:t>
            </w:r>
          </w:p>
        </w:tc>
        <w:tc>
          <w:tcPr>
            <w:tcW w:w="1209"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年采购量</w:t>
            </w:r>
          </w:p>
        </w:tc>
        <w:tc>
          <w:tcPr>
            <w:tcW w:w="1138"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不含税限价</w:t>
            </w:r>
          </w:p>
        </w:tc>
        <w:tc>
          <w:tcPr>
            <w:tcW w:w="1821"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要求</w:t>
            </w:r>
          </w:p>
        </w:tc>
        <w:tc>
          <w:tcPr>
            <w:tcW w:w="1392"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推荐品牌</w:t>
            </w:r>
          </w:p>
        </w:tc>
        <w:tc>
          <w:tcPr>
            <w:tcW w:w="1392"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86" w:hRule="atLeast"/>
          <w:jc w:val="center"/>
        </w:trPr>
        <w:tc>
          <w:tcPr>
            <w:tcW w:w="759"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大米</w:t>
            </w:r>
          </w:p>
        </w:tc>
        <w:tc>
          <w:tcPr>
            <w:tcW w:w="1209"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食堂</w:t>
            </w:r>
          </w:p>
        </w:tc>
        <w:tc>
          <w:tcPr>
            <w:tcW w:w="1209"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900袋/年</w:t>
            </w:r>
          </w:p>
        </w:tc>
        <w:tc>
          <w:tcPr>
            <w:tcW w:w="1138" w:type="dxa"/>
            <w:vMerge w:val="restart"/>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shd w:val="clear" w:fill="FFFFFF" w:themeFill="background1"/>
                <w:vertAlign w:val="baseline"/>
                <w:lang w:val="en-US" w:eastAsia="zh-CN"/>
              </w:rPr>
              <w:t>105元/袋</w:t>
            </w:r>
          </w:p>
        </w:tc>
        <w:tc>
          <w:tcPr>
            <w:tcW w:w="1821" w:type="dxa"/>
            <w:vMerge w:val="restart"/>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粳米、国标一级、无杂质，产地：南通，50斤/袋</w:t>
            </w:r>
          </w:p>
        </w:tc>
        <w:tc>
          <w:tcPr>
            <w:tcW w:w="1392" w:type="dxa"/>
            <w:vMerge w:val="restart"/>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无</w:t>
            </w:r>
          </w:p>
        </w:tc>
        <w:tc>
          <w:tcPr>
            <w:tcW w:w="1392" w:type="dxa"/>
            <w:vMerge w:val="restart"/>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生产至销售在质保时间的前1/3内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大米</w:t>
            </w:r>
          </w:p>
        </w:tc>
        <w:tc>
          <w:tcPr>
            <w:tcW w:w="1209"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配餐</w:t>
            </w:r>
          </w:p>
        </w:tc>
        <w:tc>
          <w:tcPr>
            <w:tcW w:w="1209" w:type="dxa"/>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3200袋/年</w:t>
            </w:r>
          </w:p>
        </w:tc>
        <w:tc>
          <w:tcPr>
            <w:tcW w:w="1138" w:type="dxa"/>
            <w:vMerge w:val="continue"/>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p>
        </w:tc>
        <w:tc>
          <w:tcPr>
            <w:tcW w:w="1821" w:type="dxa"/>
            <w:vMerge w:val="continue"/>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p>
        </w:tc>
        <w:tc>
          <w:tcPr>
            <w:tcW w:w="1392" w:type="dxa"/>
            <w:vMerge w:val="continue"/>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p>
        </w:tc>
        <w:tc>
          <w:tcPr>
            <w:tcW w:w="1392" w:type="dxa"/>
            <w:vMerge w:val="continue"/>
            <w:shd w:val="clear" w:color="auto" w:fill="FFFFFF" w:themeFill="background1"/>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p>
        </w:tc>
      </w:tr>
    </w:tbl>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注：1.1大米采购量以实际需求为准；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en-US" w:eastAsia="zh-CN"/>
        </w:rPr>
        <w:t xml:space="preserve">  1.2</w:t>
      </w:r>
      <w:r>
        <w:rPr>
          <w:rFonts w:hint="eastAsia" w:ascii="仿宋" w:hAnsi="仿宋" w:eastAsia="仿宋" w:cs="仿宋"/>
          <w:sz w:val="24"/>
          <w:szCs w:val="24"/>
          <w:highlight w:val="none"/>
          <w:lang w:eastAsia="zh-CN"/>
        </w:rPr>
        <w:t>货物符合国家、行业及当地相关部门的规定及要求，以检测检验为准</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eastAsia="zh-CN"/>
        </w:rPr>
        <w:t>提供近一年内政府监督管理部门或政府监督管理部门认可的样品的检测检验报告），</w:t>
      </w:r>
      <w:r>
        <w:rPr>
          <w:rFonts w:hint="eastAsia" w:ascii="仿宋" w:hAnsi="仿宋" w:eastAsia="仿宋" w:cs="仿宋"/>
          <w:sz w:val="24"/>
          <w:szCs w:val="24"/>
          <w:highlight w:val="none"/>
          <w:lang w:val="en-US" w:eastAsia="zh-CN"/>
        </w:rPr>
        <w:t>不提供视为无效投标。</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2、执行、检测标准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GB/T 1354-2018《中华人民共和国国家标准 大米》</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3、质量要求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组织形态：具有该品种应有的形态，不变形，不破损；</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色泽：具有该品种应有的色泽；</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滋气味：具有该品种应有的滋味和气味，无异味；</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杂质：外表及内部均无肉眼可见杂质；</w:t>
      </w:r>
    </w:p>
    <w:p>
      <w:pPr>
        <w:pStyle w:val="8"/>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lang w:val="en-US" w:eastAsia="zh-CN"/>
        </w:rPr>
        <w:t>三、商务要求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1、服务期限及对象：</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1.1服务期限：一年，自合同签订生效之日起算。合同到期后，基于本合同实质性内容不变情况下，经双方协商后可续期一年。</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1.2服务对象：本项目包含机场食堂和机场配餐两处大米采购及配送服务，食堂食材采购方为南通机场集团有限公司；配餐食材采购方为南通空港实业有限公司，成交单位将分别与南通机场集团有限公司、南通空港实业有限公司签订大米采购及配送合同，并应根据食堂和配餐的订单分别下单及配送。</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1.3服务地点：南通兴东国际机场食堂和配餐，投标人负责装缷入库</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2、交付时间：月正常订单，两日内到库；应急补单，1.5小时内到库。</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3、质保期限：6个月，物品验收之日起算。生产至销售在质保时间的前1/3内。</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4、履约保证金：成交人需向机场集团和空港实业分别缴纳各自中标金额的10%。</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5、售后服务：接收通知后，在30分钟内响应，5小时内赶赴到现场，应急服务应在2小时内完成。</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6、验收标准：符合招标文件的规定、成交单位投标文件以及开标现场作出的书面承诺为依据。</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按国家标准验收，成交人所供每批次产品必须附产品出厂检验报告。供货期间对所供货物质量产生异议的，送政府质量检测部门检验。如检验不合格，检验费用由成交人承担，并取消成交人资格。因所供货物质量问题产生的责任由成交人承担。</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7、验收方案：现场结合使用情况综合验收。</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8、付款条件：按月结算，成交单位次月月初凭验收交接单和增值税发票（向食堂出具增值税普通发票，向配餐出具增值税专用发票）申请付款。</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13"/>
        <w:jc w:val="left"/>
        <w:outlineLvl w:val="9"/>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tabs>
          <w:tab w:val="left" w:pos="720"/>
          <w:tab w:val="left" w:pos="900"/>
        </w:tabs>
        <w:topLinePunct/>
        <w:spacing w:line="420" w:lineRule="atLeast"/>
        <w:rPr>
          <w:rFonts w:ascii="宋体"/>
          <w:b/>
          <w:bCs/>
          <w:szCs w:val="21"/>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6"/>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项目投标。授权代表签署与本次招标相关的一切文件和处理与之有关的一切事务，本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233045</wp:posOffset>
                </wp:positionV>
                <wp:extent cx="15621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6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6.3pt;margin-top:18.35pt;height:0.05pt;width:123pt;z-index:251659264;mso-width-relative:page;mso-height-relative:page;" filled="f" stroked="t" coordsize="21600,21600" o:gfxdata="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puvXXAAAACQEAAA8AAAAAAAAAAQAgAAAAIgAAAGRycy9kb3ducmV2LnhtbFBLAQIU&#10;ABQAAAAIAIdO4kClrutP9AEAAOYDAAAOAAAAAAAAAAEAIAAAACY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6"/>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6"/>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6"/>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法定代表人身份证粘贴处</w:t>
            </w:r>
          </w:p>
        </w:tc>
        <w:tc>
          <w:tcPr>
            <w:tcW w:w="4490" w:type="dxa"/>
            <w:noWrap w:val="0"/>
            <w:vAlign w:val="center"/>
          </w:tcPr>
          <w:p>
            <w:pPr>
              <w:pStyle w:val="6"/>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3"/>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报价单</w:t>
      </w:r>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537"/>
        <w:gridCol w:w="1375"/>
        <w:gridCol w:w="750"/>
        <w:gridCol w:w="990"/>
        <w:gridCol w:w="765"/>
        <w:gridCol w:w="1380"/>
        <w:gridCol w:w="1029"/>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537"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137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规格型号</w:t>
            </w:r>
          </w:p>
        </w:tc>
        <w:tc>
          <w:tcPr>
            <w:tcW w:w="7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品牌</w:t>
            </w:r>
          </w:p>
        </w:tc>
        <w:tc>
          <w:tcPr>
            <w:tcW w:w="99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单位</w:t>
            </w:r>
          </w:p>
        </w:tc>
        <w:tc>
          <w:tcPr>
            <w:tcW w:w="76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数量</w:t>
            </w:r>
          </w:p>
        </w:tc>
        <w:tc>
          <w:tcPr>
            <w:tcW w:w="138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单价（元）</w:t>
            </w:r>
          </w:p>
        </w:tc>
        <w:tc>
          <w:tcPr>
            <w:tcW w:w="1029"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highlight w:val="none"/>
              </w:rPr>
            </w:pPr>
            <w:r>
              <w:rPr>
                <w:rFonts w:hint="eastAsia" w:ascii="仿宋" w:hAnsi="仿宋" w:eastAsia="仿宋" w:cs="仿宋"/>
                <w:highlight w:val="none"/>
              </w:rPr>
              <w:t>金额</w:t>
            </w:r>
          </w:p>
        </w:tc>
        <w:tc>
          <w:tcPr>
            <w:tcW w:w="724"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大米（食堂）</w:t>
            </w: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2</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大米（配餐）</w:t>
            </w: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eastAsia="zh-CN"/>
              </w:rPr>
              <w:t>增值税税率</w:t>
            </w:r>
            <w:r>
              <w:rPr>
                <w:rFonts w:ascii="仿宋" w:hAnsi="仿宋" w:eastAsia="仿宋" w:cs="仿宋"/>
                <w:spacing w:val="20"/>
                <w:szCs w:val="21"/>
                <w:highlight w:val="none"/>
                <w:u w:val="single"/>
              </w:rPr>
              <w:t xml:space="preserve">                             </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tcBorders>
              <w:bottom w:val="double" w:color="auto" w:sz="4" w:space="0"/>
            </w:tcBorders>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最终报价：</w:t>
            </w:r>
          </w:p>
        </w:tc>
        <w:tc>
          <w:tcPr>
            <w:tcW w:w="1029"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r>
        <w:rPr>
          <w:rFonts w:hint="eastAsia" w:ascii="仿宋" w:hAnsi="仿宋" w:eastAsia="仿宋" w:cs="仿宋"/>
          <w:sz w:val="24"/>
          <w:highlight w:val="none"/>
          <w:lang w:eastAsia="zh-CN"/>
        </w:rPr>
        <w:t>最终报价</w:t>
      </w:r>
      <w:r>
        <w:rPr>
          <w:rFonts w:hint="eastAsia" w:ascii="仿宋" w:hAnsi="仿宋" w:eastAsia="仿宋" w:cs="仿宋"/>
          <w:sz w:val="24"/>
          <w:highlight w:val="none"/>
          <w:lang w:val="en-US" w:eastAsia="zh-CN"/>
        </w:rPr>
        <w:t>以现场电话报价为准</w:t>
      </w:r>
      <w:r>
        <w:rPr>
          <w:rFonts w:hint="eastAsia" w:ascii="仿宋" w:hAnsi="仿宋" w:eastAsia="仿宋" w:cs="仿宋"/>
          <w:sz w:val="24"/>
          <w:highlight w:val="none"/>
          <w:lang w:eastAsia="zh-CN"/>
        </w:rPr>
        <w:t>。</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投标函</w:t>
      </w:r>
    </w:p>
    <w:p>
      <w:pPr>
        <w:pStyle w:val="6"/>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南通</w:t>
      </w:r>
      <w:r>
        <w:rPr>
          <w:rFonts w:hint="eastAsia" w:ascii="仿宋" w:hAnsi="仿宋" w:eastAsia="仿宋" w:cs="仿宋"/>
          <w:sz w:val="24"/>
          <w:szCs w:val="24"/>
          <w:highlight w:val="none"/>
          <w:u w:val="single"/>
          <w:lang w:eastAsia="zh-CN"/>
        </w:rPr>
        <w:t>机场集团</w:t>
      </w:r>
      <w:r>
        <w:rPr>
          <w:rFonts w:hint="eastAsia" w:ascii="仿宋" w:hAnsi="仿宋" w:eastAsia="仿宋" w:cs="仿宋"/>
          <w:sz w:val="24"/>
          <w:szCs w:val="24"/>
          <w:highlight w:val="none"/>
          <w:u w:val="single"/>
        </w:rPr>
        <w:t>有限公司</w:t>
      </w:r>
      <w:r>
        <w:rPr>
          <w:rFonts w:hint="eastAsia" w:ascii="仿宋" w:hAnsi="仿宋" w:eastAsia="仿宋" w:cs="仿宋"/>
          <w:sz w:val="24"/>
          <w:szCs w:val="24"/>
          <w:highlight w:val="none"/>
        </w:rPr>
        <w:t>：</w:t>
      </w:r>
    </w:p>
    <w:p>
      <w:pPr>
        <w:pStyle w:val="6"/>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采购公告</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招标编号</w:t>
      </w:r>
      <w:r>
        <w:rPr>
          <w:rFonts w:hint="eastAsia" w:ascii="仿宋" w:hAnsi="仿宋" w:eastAsia="仿宋" w:cs="仿宋"/>
          <w:sz w:val="24"/>
          <w:szCs w:val="24"/>
          <w:highlight w:val="none"/>
          <w:u w:val="single"/>
          <w:lang w:eastAsia="zh-CN"/>
        </w:rPr>
        <w:t>XXXX-XX-202XXXX</w:t>
      </w:r>
      <w:r>
        <w:rPr>
          <w:rFonts w:hint="eastAsia" w:ascii="仿宋" w:hAnsi="仿宋" w:eastAsia="仿宋" w:cs="仿宋"/>
          <w:sz w:val="24"/>
          <w:szCs w:val="24"/>
          <w:highlight w:val="none"/>
        </w:rPr>
        <w:t>），签字代表</w:t>
      </w:r>
      <w:r>
        <w:rPr>
          <w:rFonts w:hint="eastAsia" w:ascii="仿宋" w:hAnsi="仿宋" w:eastAsia="仿宋" w:cs="仿宋"/>
          <w:sz w:val="24"/>
          <w:szCs w:val="24"/>
          <w:highlight w:val="none"/>
          <w:u w:val="single"/>
        </w:rPr>
        <w:t>（姓名、职务）</w:t>
      </w:r>
      <w:r>
        <w:rPr>
          <w:rFonts w:hint="eastAsia" w:ascii="仿宋" w:hAnsi="仿宋" w:eastAsia="仿宋" w:cs="仿宋"/>
          <w:sz w:val="24"/>
          <w:szCs w:val="24"/>
          <w:highlight w:val="none"/>
        </w:rPr>
        <w:t>经正式授权并代表</w:t>
      </w:r>
      <w:r>
        <w:rPr>
          <w:rFonts w:hint="eastAsia" w:ascii="仿宋" w:hAnsi="仿宋" w:eastAsia="仿宋" w:cs="仿宋"/>
          <w:sz w:val="24"/>
          <w:szCs w:val="24"/>
          <w:highlight w:val="none"/>
          <w:lang w:eastAsia="zh-CN"/>
        </w:rPr>
        <w:t>竞谈响应人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响应供应商</w:t>
      </w:r>
      <w:r>
        <w:rPr>
          <w:rFonts w:hint="eastAsia" w:ascii="仿宋" w:hAnsi="仿宋" w:eastAsia="仿宋" w:cs="仿宋"/>
          <w:sz w:val="24"/>
          <w:szCs w:val="24"/>
          <w:highlight w:val="none"/>
          <w:u w:val="single"/>
        </w:rPr>
        <w:t>名称、地址）</w:t>
      </w:r>
      <w:r>
        <w:rPr>
          <w:rFonts w:hint="eastAsia" w:ascii="仿宋" w:hAnsi="仿宋" w:eastAsia="仿宋" w:cs="仿宋"/>
          <w:sz w:val="24"/>
          <w:szCs w:val="24"/>
          <w:highlight w:val="none"/>
        </w:rPr>
        <w:t>提交</w:t>
      </w:r>
      <w:r>
        <w:rPr>
          <w:rFonts w:hint="eastAsia" w:ascii="仿宋" w:hAnsi="仿宋" w:eastAsia="仿宋" w:cs="仿宋"/>
          <w:sz w:val="24"/>
          <w:szCs w:val="24"/>
          <w:highlight w:val="none"/>
          <w:lang w:eastAsia="zh-CN"/>
        </w:rPr>
        <w:t>响应文件</w:t>
      </w:r>
      <w:r>
        <w:rPr>
          <w:rFonts w:hint="eastAsia" w:ascii="仿宋" w:hAnsi="仿宋" w:eastAsia="仿宋" w:cs="仿宋"/>
          <w:color w:val="auto"/>
          <w:sz w:val="24"/>
          <w:szCs w:val="24"/>
          <w:highlight w:val="none"/>
        </w:rPr>
        <w:t>正本一份及副本一份</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要求提供的全部资料）；</w:t>
      </w:r>
    </w:p>
    <w:p>
      <w:pPr>
        <w:pStyle w:val="6"/>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据此函，签字代表宣布同意如下：</w:t>
      </w:r>
    </w:p>
    <w:p>
      <w:pPr>
        <w:pStyle w:val="6"/>
        <w:pageBreakBefore w:val="0"/>
        <w:kinsoku/>
        <w:wordWrap/>
        <w:overflowPunct/>
        <w:topLinePunct w:val="0"/>
        <w:bidi w:val="0"/>
        <w:adjustRightInd/>
        <w:snapToGrid/>
        <w:spacing w:line="400" w:lineRule="exact"/>
        <w:ind w:left="0" w:leftChars="0" w:right="0" w:rightChars="0" w:firstLine="475" w:firstLineChars="198"/>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1．所附投标价格表中规定的</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投标总价为</w:t>
      </w:r>
      <w:r>
        <w:rPr>
          <w:rFonts w:hint="eastAsia" w:ascii="仿宋" w:hAnsi="仿宋" w:eastAsia="仿宋" w:cs="仿宋"/>
          <w:sz w:val="24"/>
          <w:szCs w:val="24"/>
          <w:highlight w:val="none"/>
          <w:u w:val="single"/>
        </w:rPr>
        <w:t>（注明币种，并用文字和数字表示的投标总价）。</w:t>
      </w:r>
    </w:p>
    <w:p>
      <w:pPr>
        <w:pStyle w:val="6"/>
        <w:pageBreakBefore w:val="0"/>
        <w:kinsoku/>
        <w:wordWrap/>
        <w:overflowPunct/>
        <w:topLinePunct w:val="0"/>
        <w:bidi w:val="0"/>
        <w:adjustRightInd/>
        <w:snapToGrid/>
        <w:spacing w:line="400" w:lineRule="exact"/>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2．我方已详细审查全部</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，包括有关澄清和补充说明（如果有的话）。我们完全理解并同意放弃对这方面有不明及误解的权力。</w:t>
      </w:r>
    </w:p>
    <w:p>
      <w:pPr>
        <w:pStyle w:val="6"/>
        <w:pageBreakBefore w:val="0"/>
        <w:kinsoku/>
        <w:wordWrap/>
        <w:overflowPunct/>
        <w:topLinePunct w:val="0"/>
        <w:bidi w:val="0"/>
        <w:adjustRightInd/>
        <w:snapToGrid/>
        <w:spacing w:line="400" w:lineRule="exact"/>
        <w:ind w:left="0" w:leftChars="0" w:right="0" w:rightChars="0" w:firstLine="475" w:firstLineChars="198"/>
        <w:rPr>
          <w:rFonts w:hint="eastAsia" w:ascii="仿宋" w:hAnsi="仿宋" w:eastAsia="仿宋" w:cs="仿宋"/>
          <w:sz w:val="24"/>
          <w:szCs w:val="24"/>
          <w:highlight w:val="none"/>
        </w:rPr>
      </w:pPr>
      <w:r>
        <w:rPr>
          <w:rFonts w:hint="eastAsia" w:ascii="仿宋" w:hAnsi="仿宋" w:eastAsia="仿宋" w:cs="仿宋"/>
          <w:sz w:val="24"/>
          <w:szCs w:val="24"/>
          <w:highlight w:val="none"/>
        </w:rPr>
        <w:t>3．本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有效期为自开标日起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XX</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个日历日。在这期间，本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将始终对我方具有约束力，并可随时被接受。本次</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（含承诺书）将作为买卖合同的附件。</w:t>
      </w:r>
    </w:p>
    <w:p>
      <w:pPr>
        <w:pStyle w:val="6"/>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4．如果在规定的开标时间后，我方在投标有效期内撤回投标，其投标保证金将被贵方没收。</w:t>
      </w:r>
    </w:p>
    <w:p>
      <w:pPr>
        <w:pStyle w:val="6"/>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5．我方愿意向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提供任何与本次招标相关的其他资料。</w:t>
      </w:r>
    </w:p>
    <w:p>
      <w:pPr>
        <w:pStyle w:val="6"/>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6．我方将严格履行本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中的全部承诺和责任，并遵守</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中对</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的所有规定。</w:t>
      </w:r>
    </w:p>
    <w:p>
      <w:pPr>
        <w:pStyle w:val="6"/>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7．如果我方中标，将派出（姓名）作为本项目的项目负责人（或项目经理）。</w:t>
      </w:r>
    </w:p>
    <w:p>
      <w:pPr>
        <w:pStyle w:val="6"/>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8．如果我方中标，我们将在合同签订生效后按合同约定施工。并将按</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的规定履行合同责任和义务。</w:t>
      </w:r>
    </w:p>
    <w:p>
      <w:pPr>
        <w:pStyle w:val="6"/>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10．如果我们中标，我们将按</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的规定支付中标的有关服务费。</w:t>
      </w:r>
    </w:p>
    <w:p>
      <w:pPr>
        <w:pStyle w:val="6"/>
        <w:pageBreakBefore w:val="0"/>
        <w:kinsoku/>
        <w:wordWrap/>
        <w:overflowPunct/>
        <w:topLinePunct w:val="0"/>
        <w:bidi w:val="0"/>
        <w:adjustRightInd/>
        <w:snapToGrid/>
        <w:spacing w:line="400" w:lineRule="exact"/>
        <w:ind w:left="0" w:leftChars="0" w:right="0" w:rightChars="0" w:firstLine="672" w:firstLineChars="280"/>
        <w:rPr>
          <w:rFonts w:hint="eastAsia" w:ascii="仿宋" w:hAnsi="仿宋" w:eastAsia="仿宋" w:cs="仿宋"/>
          <w:sz w:val="24"/>
          <w:szCs w:val="24"/>
          <w:highlight w:val="none"/>
        </w:rPr>
      </w:pPr>
      <w:r>
        <w:rPr>
          <w:rFonts w:hint="eastAsia" w:ascii="仿宋" w:hAnsi="仿宋" w:eastAsia="仿宋" w:cs="仿宋"/>
          <w:sz w:val="24"/>
          <w:szCs w:val="24"/>
          <w:highlight w:val="none"/>
        </w:rPr>
        <w:t>11.与本次投标有关的一切往来信函请寄：</w:t>
      </w:r>
    </w:p>
    <w:p>
      <w:pPr>
        <w:pStyle w:val="6"/>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p>
    <w:p>
      <w:pPr>
        <w:pStyle w:val="6"/>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地址：                       邮编：</w:t>
      </w:r>
    </w:p>
    <w:p>
      <w:pPr>
        <w:pStyle w:val="6"/>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联系人：                     电话：</w:t>
      </w:r>
    </w:p>
    <w:p>
      <w:pPr>
        <w:pStyle w:val="6"/>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p>
    <w:p>
      <w:pPr>
        <w:pStyle w:val="6"/>
        <w:pageBreakBefore w:val="0"/>
        <w:tabs>
          <w:tab w:val="left" w:pos="5665"/>
          <w:tab w:val="right" w:pos="8360"/>
        </w:tabs>
        <w:kinsoku/>
        <w:wordWrap/>
        <w:overflowPunct/>
        <w:topLinePunct w:val="0"/>
        <w:bidi w:val="0"/>
        <w:adjustRightInd/>
        <w:snapToGrid/>
        <w:spacing w:line="400" w:lineRule="exact"/>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法人代表或授权代表签字：</w:t>
      </w:r>
    </w:p>
    <w:p>
      <w:pPr>
        <w:pStyle w:val="6"/>
        <w:pageBreakBefore w:val="0"/>
        <w:tabs>
          <w:tab w:val="left" w:pos="5665"/>
          <w:tab w:val="right" w:pos="8360"/>
        </w:tabs>
        <w:kinsoku/>
        <w:wordWrap/>
        <w:overflowPunct/>
        <w:topLinePunct w:val="0"/>
        <w:bidi w:val="0"/>
        <w:adjustRightInd/>
        <w:snapToGrid/>
        <w:spacing w:line="400" w:lineRule="exact"/>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盖</w:t>
      </w:r>
      <w:r>
        <w:rPr>
          <w:rFonts w:hint="eastAsia" w:ascii="仿宋" w:hAnsi="仿宋" w:eastAsia="仿宋" w:cs="仿宋"/>
          <w:sz w:val="24"/>
          <w:szCs w:val="24"/>
          <w:highlight w:val="none"/>
        </w:rPr>
        <w:t>章)</w:t>
      </w:r>
    </w:p>
    <w:p>
      <w:pPr>
        <w:pStyle w:val="6"/>
        <w:pageBreakBefore w:val="0"/>
        <w:tabs>
          <w:tab w:val="left" w:pos="5665"/>
          <w:tab w:val="right" w:pos="8360"/>
        </w:tabs>
        <w:kinsoku/>
        <w:wordWrap/>
        <w:overflowPunct/>
        <w:topLinePunct w:val="0"/>
        <w:bidi w:val="0"/>
        <w:adjustRightInd/>
        <w:snapToGrid/>
        <w:spacing w:line="400" w:lineRule="exact"/>
        <w:ind w:left="0" w:leftChars="0" w:right="0" w:rightChars="0" w:firstLine="600" w:firstLineChars="250"/>
        <w:jc w:val="center"/>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日</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竞谈响应人</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竞谈响应人</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致： 南通</w:t>
      </w:r>
      <w:r>
        <w:rPr>
          <w:rFonts w:hint="eastAsia" w:ascii="仿宋" w:hAnsi="仿宋" w:eastAsia="仿宋" w:cs="仿宋"/>
          <w:color w:val="000000"/>
          <w:kern w:val="0"/>
          <w:sz w:val="24"/>
          <w:szCs w:val="24"/>
          <w:highlight w:val="none"/>
          <w:lang w:eastAsia="zh-CN"/>
        </w:rPr>
        <w:t>机场集团</w:t>
      </w:r>
      <w:r>
        <w:rPr>
          <w:rFonts w:hint="eastAsia" w:ascii="仿宋" w:hAnsi="仿宋" w:eastAsia="仿宋" w:cs="仿宋"/>
          <w:color w:val="000000"/>
          <w:kern w:val="0"/>
          <w:sz w:val="24"/>
          <w:szCs w:val="24"/>
          <w:highlight w:val="none"/>
        </w:rPr>
        <w:t>有限公司</w:t>
      </w:r>
    </w:p>
    <w:p>
      <w:pPr>
        <w:pStyle w:val="6"/>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我公司自愿参加贵单位</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项目的</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，在此我公司承诺：</w:t>
      </w:r>
    </w:p>
    <w:p>
      <w:pPr>
        <w:pStyle w:val="6"/>
        <w:pageBreakBefore w:val="0"/>
        <w:numPr>
          <w:ilvl w:val="0"/>
          <w:numId w:val="1"/>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根据贵单位（南通</w:t>
      </w:r>
      <w:r>
        <w:rPr>
          <w:rFonts w:hint="eastAsia" w:ascii="仿宋" w:hAnsi="仿宋" w:eastAsia="仿宋" w:cs="仿宋"/>
          <w:sz w:val="24"/>
          <w:szCs w:val="24"/>
          <w:highlight w:val="none"/>
          <w:lang w:eastAsia="zh-CN"/>
        </w:rPr>
        <w:t>机场集团</w:t>
      </w:r>
      <w:r>
        <w:rPr>
          <w:rFonts w:hint="eastAsia" w:ascii="仿宋" w:hAnsi="仿宋" w:eastAsia="仿宋" w:cs="仿宋"/>
          <w:sz w:val="24"/>
          <w:szCs w:val="24"/>
          <w:highlight w:val="none"/>
        </w:rPr>
        <w:t>有限公司）提出的资格审查合格条件标准和要求</w:t>
      </w:r>
      <w:r>
        <w:rPr>
          <w:rFonts w:hint="eastAsia" w:ascii="仿宋" w:hAnsi="仿宋" w:eastAsia="仿宋" w:cs="仿宋"/>
          <w:sz w:val="24"/>
          <w:szCs w:val="24"/>
          <w:highlight w:val="none"/>
          <w:lang w:eastAsia="zh-CN"/>
        </w:rPr>
        <w:t>；</w:t>
      </w:r>
    </w:p>
    <w:p>
      <w:pPr>
        <w:pStyle w:val="6"/>
        <w:pageBreakBefore w:val="0"/>
        <w:numPr>
          <w:ilvl w:val="0"/>
          <w:numId w:val="1"/>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本公司企业财务和经营状况良好，具备履行合同能力</w:t>
      </w:r>
      <w:r>
        <w:rPr>
          <w:rFonts w:hint="eastAsia" w:ascii="仿宋" w:hAnsi="仿宋" w:eastAsia="仿宋" w:cs="仿宋"/>
          <w:sz w:val="24"/>
          <w:szCs w:val="24"/>
          <w:highlight w:val="none"/>
          <w:lang w:eastAsia="zh-CN"/>
        </w:rPr>
        <w:t>；</w:t>
      </w:r>
    </w:p>
    <w:p>
      <w:pPr>
        <w:pStyle w:val="6"/>
        <w:pageBreakBefore w:val="0"/>
        <w:numPr>
          <w:ilvl w:val="0"/>
          <w:numId w:val="1"/>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近三年内无不良经营行为，未处于被责令停业，投标资格被取消或者财产被接管，冻结和破产状态；</w:t>
      </w:r>
    </w:p>
    <w:p>
      <w:pPr>
        <w:pStyle w:val="6"/>
        <w:pageBreakBefore w:val="0"/>
        <w:numPr>
          <w:ilvl w:val="0"/>
          <w:numId w:val="1"/>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没有因骗取中标或者严重违约以及发生重大质量、安全生产事故等问题，被有关部门暂停投标资格并在暂停期内的</w:t>
      </w:r>
      <w:r>
        <w:rPr>
          <w:rFonts w:hint="eastAsia" w:ascii="仿宋" w:hAnsi="仿宋" w:eastAsia="仿宋" w:cs="仿宋"/>
          <w:sz w:val="24"/>
          <w:szCs w:val="24"/>
          <w:highlight w:val="none"/>
          <w:lang w:eastAsia="zh-CN"/>
        </w:rPr>
        <w:t>；</w:t>
      </w:r>
    </w:p>
    <w:p>
      <w:pPr>
        <w:pStyle w:val="6"/>
        <w:pageBreakBefore w:val="0"/>
        <w:numPr>
          <w:ilvl w:val="0"/>
          <w:numId w:val="1"/>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未被“信用中国”等列入失信被执行人、企业经营异常名录、重大税收违法案件当事人名单、政府采购严重违法失信名单、没有因违反招投标规定被行政处罚且在公示期内</w:t>
      </w:r>
      <w:r>
        <w:rPr>
          <w:rFonts w:hint="eastAsia" w:ascii="仿宋" w:hAnsi="仿宋" w:eastAsia="仿宋" w:cs="仿宋"/>
          <w:sz w:val="24"/>
          <w:szCs w:val="24"/>
          <w:highlight w:val="none"/>
          <w:lang w:eastAsia="zh-CN"/>
        </w:rPr>
        <w:t>；</w:t>
      </w:r>
    </w:p>
    <w:p>
      <w:pPr>
        <w:pStyle w:val="6"/>
        <w:pageBreakBefore w:val="0"/>
        <w:numPr>
          <w:ilvl w:val="0"/>
          <w:numId w:val="1"/>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本公司递交的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中的内容没有隐瞒、虚假、伪造等弄虚作假行为。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发现我公司有以上行为，贵公司可以拒绝我公司</w:t>
      </w:r>
      <w:r>
        <w:rPr>
          <w:rFonts w:hint="eastAsia" w:ascii="仿宋" w:hAnsi="仿宋" w:eastAsia="仿宋" w:cs="仿宋"/>
          <w:sz w:val="24"/>
          <w:szCs w:val="24"/>
          <w:highlight w:val="none"/>
          <w:lang w:eastAsia="zh-CN"/>
        </w:rPr>
        <w:t>的响应文件</w:t>
      </w:r>
      <w:r>
        <w:rPr>
          <w:rFonts w:hint="eastAsia" w:ascii="仿宋" w:hAnsi="仿宋" w:eastAsia="仿宋" w:cs="仿宋"/>
          <w:sz w:val="24"/>
          <w:szCs w:val="24"/>
          <w:highlight w:val="none"/>
        </w:rPr>
        <w:t>，如已</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，可取消我公司</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资格，并接受行政主管部门对我公司弄虚作假、违反公平和诚实信用原则做出的任何处理。</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竞谈响应人</w:t>
      </w:r>
      <w:r>
        <w:rPr>
          <w:rFonts w:hint="eastAsia" w:ascii="宋体" w:hAnsi="宋体" w:eastAsia="宋体" w:cs="宋体"/>
          <w:kern w:val="2"/>
          <w:sz w:val="21"/>
          <w:szCs w:val="21"/>
          <w:highlight w:val="none"/>
          <w:lang w:val="en-US" w:eastAsia="zh-CN" w:bidi="ar-SA"/>
        </w:rPr>
        <w:t>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w:t>
      </w:r>
    </w:p>
    <w:p>
      <w:pPr>
        <w:pStyle w:val="3"/>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w:t>
      </w:r>
      <w:r>
        <w:rPr>
          <w:rFonts w:hint="eastAsia" w:ascii="仿宋" w:hAnsi="仿宋" w:eastAsia="仿宋" w:cs="仿宋"/>
          <w:sz w:val="28"/>
          <w:szCs w:val="28"/>
          <w:highlight w:val="none"/>
        </w:rPr>
        <w:t>技术参数偏离表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技术参数偏离表</w:t>
      </w:r>
    </w:p>
    <w:p>
      <w:pPr>
        <w:rPr>
          <w:rFonts w:hint="eastAsia" w:ascii="仿宋" w:hAnsi="仿宋" w:eastAsia="仿宋" w:cs="仿宋"/>
          <w:sz w:val="24"/>
          <w:szCs w:val="24"/>
          <w:highlight w:val="none"/>
          <w:lang w:eastAsia="zh-CN"/>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编号：标段号（如果有的话）：</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4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货物名称</w:t>
            </w:r>
          </w:p>
        </w:tc>
        <w:tc>
          <w:tcPr>
            <w:tcW w:w="175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条目号</w:t>
            </w:r>
          </w:p>
        </w:tc>
        <w:tc>
          <w:tcPr>
            <w:tcW w:w="1890" w:type="dxa"/>
            <w:noWrap w:val="0"/>
            <w:vAlign w:val="center"/>
          </w:tcPr>
          <w:p>
            <w:pPr>
              <w:ind w:left="151" w:hanging="172" w:hangingChars="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招标技术规格</w:t>
            </w:r>
          </w:p>
        </w:tc>
        <w:tc>
          <w:tcPr>
            <w:tcW w:w="193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投标技术规格</w:t>
            </w:r>
          </w:p>
        </w:tc>
        <w:tc>
          <w:tcPr>
            <w:tcW w:w="1680"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hint="eastAsia" w:ascii="仿宋" w:hAnsi="仿宋" w:eastAsia="仿宋" w:cs="仿宋"/>
                <w:sz w:val="24"/>
                <w:szCs w:val="24"/>
                <w:highlight w:val="none"/>
              </w:rPr>
            </w:pPr>
          </w:p>
        </w:tc>
        <w:tc>
          <w:tcPr>
            <w:tcW w:w="1741" w:type="dxa"/>
            <w:noWrap w:val="0"/>
            <w:vAlign w:val="top"/>
          </w:tcPr>
          <w:p>
            <w:pPr>
              <w:rPr>
                <w:rFonts w:hint="eastAsia" w:ascii="仿宋" w:hAnsi="仿宋" w:eastAsia="仿宋" w:cs="仿宋"/>
                <w:sz w:val="24"/>
                <w:szCs w:val="24"/>
                <w:highlight w:val="none"/>
              </w:rPr>
            </w:pPr>
          </w:p>
        </w:tc>
        <w:tc>
          <w:tcPr>
            <w:tcW w:w="1756" w:type="dxa"/>
            <w:noWrap w:val="0"/>
            <w:vAlign w:val="top"/>
          </w:tcPr>
          <w:p>
            <w:pPr>
              <w:rPr>
                <w:rFonts w:hint="eastAsia" w:ascii="仿宋" w:hAnsi="仿宋" w:eastAsia="仿宋" w:cs="仿宋"/>
                <w:sz w:val="24"/>
                <w:szCs w:val="24"/>
                <w:highlight w:val="none"/>
              </w:rPr>
            </w:pPr>
          </w:p>
        </w:tc>
        <w:tc>
          <w:tcPr>
            <w:tcW w:w="1890" w:type="dxa"/>
            <w:noWrap w:val="0"/>
            <w:vAlign w:val="top"/>
          </w:tcPr>
          <w:p>
            <w:pPr>
              <w:rPr>
                <w:rFonts w:hint="eastAsia" w:ascii="仿宋" w:hAnsi="仿宋" w:eastAsia="仿宋" w:cs="仿宋"/>
                <w:sz w:val="24"/>
                <w:szCs w:val="24"/>
                <w:highlight w:val="none"/>
              </w:rPr>
            </w:pPr>
          </w:p>
        </w:tc>
        <w:tc>
          <w:tcPr>
            <w:tcW w:w="1935" w:type="dxa"/>
            <w:noWrap w:val="0"/>
            <w:vAlign w:val="top"/>
          </w:tcPr>
          <w:p>
            <w:pPr>
              <w:rPr>
                <w:rFonts w:hint="eastAsia" w:ascii="仿宋" w:hAnsi="仿宋" w:eastAsia="仿宋" w:cs="仿宋"/>
                <w:sz w:val="24"/>
                <w:szCs w:val="24"/>
                <w:highlight w:val="none"/>
              </w:rPr>
            </w:pPr>
          </w:p>
        </w:tc>
        <w:tc>
          <w:tcPr>
            <w:tcW w:w="1680" w:type="dxa"/>
            <w:noWrap w:val="0"/>
            <w:vAlign w:val="top"/>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hint="eastAsia" w:ascii="仿宋" w:hAnsi="仿宋" w:eastAsia="仿宋" w:cs="仿宋"/>
                <w:sz w:val="24"/>
                <w:szCs w:val="24"/>
                <w:highlight w:val="none"/>
              </w:rPr>
            </w:pPr>
          </w:p>
        </w:tc>
        <w:tc>
          <w:tcPr>
            <w:tcW w:w="1741" w:type="dxa"/>
            <w:noWrap w:val="0"/>
            <w:vAlign w:val="top"/>
          </w:tcPr>
          <w:p>
            <w:pPr>
              <w:rPr>
                <w:rFonts w:hint="eastAsia" w:ascii="仿宋" w:hAnsi="仿宋" w:eastAsia="仿宋" w:cs="仿宋"/>
                <w:sz w:val="24"/>
                <w:szCs w:val="24"/>
                <w:highlight w:val="none"/>
              </w:rPr>
            </w:pPr>
          </w:p>
        </w:tc>
        <w:tc>
          <w:tcPr>
            <w:tcW w:w="1756" w:type="dxa"/>
            <w:noWrap w:val="0"/>
            <w:vAlign w:val="top"/>
          </w:tcPr>
          <w:p>
            <w:pPr>
              <w:rPr>
                <w:rFonts w:hint="eastAsia" w:ascii="仿宋" w:hAnsi="仿宋" w:eastAsia="仿宋" w:cs="仿宋"/>
                <w:sz w:val="24"/>
                <w:szCs w:val="24"/>
                <w:highlight w:val="none"/>
              </w:rPr>
            </w:pPr>
          </w:p>
        </w:tc>
        <w:tc>
          <w:tcPr>
            <w:tcW w:w="1890" w:type="dxa"/>
            <w:noWrap w:val="0"/>
            <w:vAlign w:val="top"/>
          </w:tcPr>
          <w:p>
            <w:pPr>
              <w:rPr>
                <w:rFonts w:hint="eastAsia" w:ascii="仿宋" w:hAnsi="仿宋" w:eastAsia="仿宋" w:cs="仿宋"/>
                <w:sz w:val="24"/>
                <w:szCs w:val="24"/>
                <w:highlight w:val="none"/>
              </w:rPr>
            </w:pPr>
          </w:p>
        </w:tc>
        <w:tc>
          <w:tcPr>
            <w:tcW w:w="1935" w:type="dxa"/>
            <w:noWrap w:val="0"/>
            <w:vAlign w:val="top"/>
          </w:tcPr>
          <w:p>
            <w:pPr>
              <w:rPr>
                <w:rFonts w:hint="eastAsia" w:ascii="仿宋" w:hAnsi="仿宋" w:eastAsia="仿宋" w:cs="仿宋"/>
                <w:sz w:val="24"/>
                <w:szCs w:val="24"/>
                <w:highlight w:val="none"/>
              </w:rPr>
            </w:pPr>
          </w:p>
        </w:tc>
        <w:tc>
          <w:tcPr>
            <w:tcW w:w="1680" w:type="dxa"/>
            <w:noWrap w:val="0"/>
            <w:vAlign w:val="top"/>
          </w:tcPr>
          <w:p>
            <w:pPr>
              <w:rPr>
                <w:rFonts w:hint="eastAsia" w:ascii="仿宋" w:hAnsi="仿宋" w:eastAsia="仿宋" w:cs="仿宋"/>
                <w:sz w:val="24"/>
                <w:szCs w:val="24"/>
                <w:highlight w:val="none"/>
              </w:rPr>
            </w:pPr>
          </w:p>
        </w:tc>
      </w:tr>
    </w:tbl>
    <w:p>
      <w:pPr>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（盖章）：</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ind w:left="630" w:hanging="720" w:hangingChars="300"/>
        <w:rPr>
          <w:rFonts w:hint="eastAsia" w:ascii="仿宋" w:hAnsi="仿宋" w:eastAsia="仿宋" w:cs="仿宋"/>
          <w:sz w:val="24"/>
          <w:szCs w:val="24"/>
          <w:highlight w:val="none"/>
        </w:rPr>
      </w:pPr>
      <w:r>
        <w:rPr>
          <w:rFonts w:hint="eastAsia" w:ascii="仿宋" w:hAnsi="仿宋" w:eastAsia="仿宋" w:cs="仿宋"/>
          <w:sz w:val="24"/>
          <w:szCs w:val="24"/>
          <w:highlight w:val="none"/>
        </w:rPr>
        <w:t>注：1、对本采购文件第三章项目需求</w:t>
      </w:r>
      <w:r>
        <w:rPr>
          <w:rFonts w:hint="eastAsia" w:ascii="仿宋" w:hAnsi="仿宋" w:eastAsia="仿宋" w:cs="仿宋"/>
          <w:sz w:val="24"/>
          <w:szCs w:val="24"/>
          <w:highlight w:val="none"/>
          <w:lang w:eastAsia="zh-CN"/>
        </w:rPr>
        <w:t>中的技术要求逐一</w:t>
      </w:r>
      <w:r>
        <w:rPr>
          <w:rFonts w:hint="eastAsia" w:ascii="仿宋" w:hAnsi="仿宋" w:eastAsia="仿宋" w:cs="仿宋"/>
          <w:sz w:val="24"/>
          <w:szCs w:val="24"/>
          <w:highlight w:val="none"/>
        </w:rPr>
        <w:t>进行响应，如全部响应无偏离的，则提交加盖公章的空白表格；</w:t>
      </w:r>
    </w:p>
    <w:p>
      <w:pPr>
        <w:pageBreakBefore w:val="0"/>
        <w:kinsoku/>
        <w:wordWrap/>
        <w:overflowPunct/>
        <w:bidi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2、如有偏离情况的（正、负偏离），应逐条列明偏离情况，并在偏离情况栏内填写“正偏离”或“负偏离”；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3、如</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不符合上述要求，</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将承担其投标被拒绝的风险。</w:t>
      </w:r>
    </w:p>
    <w:p>
      <w:pPr>
        <w:rPr>
          <w:rFonts w:hint="eastAsia" w:ascii="宋体" w:hAnsi="宋体" w:cs="宋体"/>
          <w:b/>
          <w:szCs w:val="21"/>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：商务条款偏离表</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商务条款偏离表</w:t>
      </w:r>
    </w:p>
    <w:p>
      <w:pPr>
        <w:pageBreakBefore w:val="0"/>
        <w:kinsoku/>
        <w:wordWrap/>
        <w:overflowPunct/>
        <w:topLinePunct w:val="0"/>
        <w:bidi w:val="0"/>
        <w:adjustRightInd/>
        <w:snapToGrid/>
        <w:ind w:left="0" w:leftChars="0" w:right="0" w:rightChars="0"/>
        <w:jc w:val="center"/>
        <w:rPr>
          <w:rFonts w:ascii="宋体"/>
          <w:highlight w:val="none"/>
        </w:rPr>
      </w:pPr>
    </w:p>
    <w:p>
      <w:pPr>
        <w:pageBreakBefore w:val="0"/>
        <w:kinsoku/>
        <w:wordWrap/>
        <w:overflowPunct/>
        <w:topLinePunct w:val="0"/>
        <w:bidi w:val="0"/>
        <w:adjustRightInd/>
        <w:snapToGrid/>
        <w:ind w:left="0" w:leftChars="0" w:right="0" w:rightChars="0" w:firstLine="136" w:firstLineChars="57"/>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编号：标段号（如果有的话）：</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磋商文件</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条目号</w:t>
            </w:r>
          </w:p>
        </w:tc>
        <w:tc>
          <w:tcPr>
            <w:tcW w:w="2739"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商务条款</w:t>
            </w:r>
          </w:p>
        </w:tc>
        <w:tc>
          <w:tcPr>
            <w:tcW w:w="2835"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商务条款</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r>
    </w:tbl>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（盖章）：</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注：1、对本采购文件第三章项目需求</w:t>
      </w:r>
      <w:r>
        <w:rPr>
          <w:rFonts w:hint="eastAsia" w:ascii="仿宋" w:hAnsi="仿宋" w:eastAsia="仿宋" w:cs="仿宋"/>
          <w:color w:val="auto"/>
          <w:sz w:val="24"/>
          <w:szCs w:val="24"/>
          <w:highlight w:val="none"/>
          <w:lang w:val="en-US" w:eastAsia="zh-CN"/>
        </w:rPr>
        <w:t>中的商务要求</w:t>
      </w:r>
      <w:r>
        <w:rPr>
          <w:rFonts w:hint="eastAsia" w:ascii="仿宋" w:hAnsi="仿宋" w:eastAsia="仿宋" w:cs="仿宋"/>
          <w:color w:val="auto"/>
          <w:sz w:val="24"/>
          <w:szCs w:val="24"/>
          <w:highlight w:val="none"/>
          <w:lang w:eastAsia="zh-CN"/>
        </w:rPr>
        <w:t>、第四章响应文件格式 合同进行响应，如全部响应无偏离的，则提交加盖公章的空白表格；</w:t>
      </w:r>
    </w:p>
    <w:p>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2、如有偏离情况的（正、负偏离），应逐条列明偏离情况，并在偏离情况栏内填写“正偏离”或“负偏离”；</w:t>
      </w:r>
    </w:p>
    <w:p>
      <w:pPr>
        <w:pageBreakBefore w:val="0"/>
        <w:kinsoku/>
        <w:wordWrap/>
        <w:overflowPunct/>
        <w:bidi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3、如响应文件不符合上述要求，响应供应商将承担其投标被拒绝的风险。</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附件八：合同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宋体" w:eastAsia="黑体"/>
          <w:sz w:val="44"/>
          <w:szCs w:val="44"/>
          <w:highlight w:val="none"/>
        </w:rPr>
      </w:pPr>
      <w:r>
        <w:rPr>
          <w:rFonts w:hint="eastAsia" w:ascii="黑体" w:hAnsi="宋体" w:eastAsia="黑体"/>
          <w:sz w:val="44"/>
          <w:szCs w:val="44"/>
          <w:highlight w:val="none"/>
          <w:lang w:eastAsia="zh-CN"/>
        </w:rPr>
        <w:t>货物采购</w:t>
      </w:r>
      <w:r>
        <w:rPr>
          <w:rFonts w:hint="eastAsia" w:ascii="黑体" w:hAnsi="宋体" w:eastAsia="黑体"/>
          <w:sz w:val="44"/>
          <w:szCs w:val="44"/>
          <w:highlight w:val="none"/>
        </w:rPr>
        <w:t>合同（</w:t>
      </w:r>
      <w:r>
        <w:rPr>
          <w:rFonts w:hint="eastAsia" w:ascii="黑体" w:hAnsi="宋体" w:eastAsia="黑体"/>
          <w:sz w:val="44"/>
          <w:szCs w:val="44"/>
          <w:highlight w:val="none"/>
          <w:lang w:eastAsia="zh-CN"/>
        </w:rPr>
        <w:t>食品类</w:t>
      </w:r>
      <w:r>
        <w:rPr>
          <w:rFonts w:hint="eastAsia" w:ascii="黑体" w:hAnsi="宋体" w:eastAsia="黑体"/>
          <w:sz w:val="44"/>
          <w:szCs w:val="44"/>
          <w:highlight w:val="none"/>
        </w:rPr>
        <w:t>）</w:t>
      </w:r>
    </w:p>
    <w:p>
      <w:pPr>
        <w:spacing w:line="400" w:lineRule="exact"/>
        <w:jc w:val="center"/>
        <w:rPr>
          <w:rFonts w:hint="eastAsia" w:ascii="楷体_GB2312" w:eastAsia="楷体_GB2312"/>
          <w:b/>
          <w:sz w:val="28"/>
          <w:szCs w:val="28"/>
          <w:highlight w:val="none"/>
        </w:rPr>
      </w:pPr>
    </w:p>
    <w:p>
      <w:pPr>
        <w:spacing w:line="400" w:lineRule="exact"/>
        <w:ind w:right="-35" w:firstLine="547" w:firstLineChars="228"/>
        <w:jc w:val="right"/>
        <w:rPr>
          <w:rFonts w:ascii="楷体_GB2312" w:eastAsia="楷体_GB2312"/>
          <w:sz w:val="24"/>
          <w:highlight w:val="none"/>
          <w:u w:val="single"/>
        </w:rPr>
      </w:pPr>
      <w:r>
        <w:rPr>
          <w:rFonts w:hint="eastAsia" w:ascii="楷体_GB2312" w:eastAsia="楷体_GB2312"/>
          <w:sz w:val="24"/>
          <w:highlight w:val="none"/>
        </w:rPr>
        <w:t>　　　　　　　　　　　　　　</w:t>
      </w:r>
      <w:r>
        <w:rPr>
          <w:rFonts w:ascii="楷体_GB2312" w:eastAsia="楷体_GB2312"/>
          <w:sz w:val="24"/>
          <w:highlight w:val="none"/>
        </w:rPr>
        <w:t>合同编号：</w:t>
      </w:r>
      <w:r>
        <w:rPr>
          <w:rFonts w:hint="eastAsia" w:ascii="楷体_GB2312" w:eastAsia="楷体_GB2312"/>
          <w:sz w:val="24"/>
          <w:highlight w:val="none"/>
          <w:u w:val="single"/>
        </w:rPr>
        <w:t>　</w:t>
      </w:r>
      <w:r>
        <w:rPr>
          <w:rFonts w:hint="eastAsia" w:ascii="楷体_GB2312" w:eastAsia="楷体_GB2312"/>
          <w:sz w:val="24"/>
          <w:highlight w:val="none"/>
          <w:u w:val="single"/>
          <w:lang w:eastAsia="zh-CN"/>
        </w:rPr>
        <w:t>同项目编号</w:t>
      </w:r>
      <w:r>
        <w:rPr>
          <w:rFonts w:hint="eastAsia" w:ascii="楷体_GB2312" w:eastAsia="楷体_GB2312"/>
          <w:sz w:val="24"/>
          <w:highlight w:val="none"/>
          <w:u w:val="single"/>
        </w:rPr>
        <w:t>　</w:t>
      </w:r>
    </w:p>
    <w:p>
      <w:pPr>
        <w:keepNext w:val="0"/>
        <w:keepLines w:val="0"/>
        <w:pageBreakBefore w:val="0"/>
        <w:kinsoku/>
        <w:wordWrap/>
        <w:overflowPunct/>
        <w:topLinePunct w:val="0"/>
        <w:autoSpaceDE/>
        <w:autoSpaceDN/>
        <w:bidi w:val="0"/>
        <w:snapToGrid/>
        <w:spacing w:line="400" w:lineRule="exact"/>
        <w:ind w:right="0" w:rightChars="0"/>
        <w:textAlignment w:val="auto"/>
        <w:outlineLvl w:val="9"/>
        <w:rPr>
          <w:rFonts w:ascii="楷体_GB2312" w:eastAsia="楷体_GB2312"/>
          <w:sz w:val="24"/>
          <w:highlight w:val="none"/>
        </w:rPr>
      </w:pPr>
      <w:r>
        <w:rPr>
          <w:rFonts w:ascii="楷体_GB2312" w:eastAsia="楷体_GB2312"/>
          <w:sz w:val="24"/>
          <w:highlight w:val="none"/>
        </w:rPr>
        <w:t>甲方：</w:t>
      </w:r>
      <w:r>
        <w:rPr>
          <w:rFonts w:hint="eastAsia" w:ascii="楷体_GB2312" w:eastAsia="楷体_GB2312"/>
          <w:sz w:val="24"/>
          <w:highlight w:val="none"/>
          <w:u w:val="single"/>
          <w:lang w:eastAsia="zh-CN"/>
        </w:rPr>
        <w:t>南通机场集团有限公司（以下简称甲方）</w:t>
      </w:r>
    </w:p>
    <w:p>
      <w:pPr>
        <w:keepNext w:val="0"/>
        <w:keepLines w:val="0"/>
        <w:pageBreakBefore w:val="0"/>
        <w:kinsoku/>
        <w:wordWrap/>
        <w:overflowPunct/>
        <w:topLinePunct w:val="0"/>
        <w:autoSpaceDE/>
        <w:autoSpaceDN/>
        <w:bidi w:val="0"/>
        <w:snapToGrid/>
        <w:spacing w:line="400" w:lineRule="exact"/>
        <w:ind w:right="0" w:rightChars="0"/>
        <w:textAlignment w:val="auto"/>
        <w:outlineLvl w:val="9"/>
        <w:rPr>
          <w:rFonts w:hint="eastAsia" w:ascii="楷体_GB2312" w:eastAsia="楷体_GB2312"/>
          <w:sz w:val="24"/>
          <w:highlight w:val="none"/>
          <w:u w:val="single"/>
          <w:lang w:eastAsia="zh-CN"/>
        </w:rPr>
      </w:pPr>
      <w:r>
        <w:rPr>
          <w:rFonts w:ascii="楷体_GB2312" w:eastAsia="楷体_GB2312"/>
          <w:sz w:val="24"/>
          <w:highlight w:val="none"/>
        </w:rPr>
        <w:t>乙方：</w:t>
      </w:r>
      <w:r>
        <w:rPr>
          <w:rFonts w:hint="eastAsia" w:ascii="楷体_GB2312" w:eastAsia="楷体_GB2312"/>
          <w:sz w:val="24"/>
          <w:highlight w:val="none"/>
          <w:u w:val="single"/>
          <w:lang w:eastAsia="zh-CN"/>
        </w:rPr>
        <w:t>【</w:t>
      </w:r>
      <w:r>
        <w:rPr>
          <w:rFonts w:hint="eastAsia" w:ascii="楷体_GB2312" w:eastAsia="楷体_GB2312"/>
          <w:sz w:val="24"/>
          <w:highlight w:val="none"/>
          <w:u w:val="single"/>
          <w:lang w:val="en-US" w:eastAsia="zh-CN"/>
        </w:rPr>
        <w:t xml:space="preserve">    </w:t>
      </w:r>
      <w:r>
        <w:rPr>
          <w:rFonts w:hint="eastAsia" w:ascii="楷体_GB2312" w:eastAsia="楷体_GB2312"/>
          <w:sz w:val="24"/>
          <w:highlight w:val="none"/>
          <w:u w:val="single"/>
          <w:lang w:eastAsia="zh-CN"/>
        </w:rPr>
        <w:t>】（以下简称乙方）</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eastAsia="zh-CN"/>
        </w:rPr>
        <w:t>甲方通过【填写采购方式】 确定乙方为【  】项目的供应商，依据</w:t>
      </w:r>
      <w:r>
        <w:rPr>
          <w:rFonts w:ascii="楷体_GB2312" w:eastAsia="楷体_GB2312"/>
          <w:sz w:val="24"/>
          <w:highlight w:val="none"/>
        </w:rPr>
        <w:t>招标文件及该文件的投标文件和中标</w:t>
      </w:r>
      <w:r>
        <w:rPr>
          <w:rFonts w:hint="eastAsia" w:ascii="楷体_GB2312" w:eastAsia="楷体_GB2312"/>
          <w:sz w:val="24"/>
          <w:highlight w:val="none"/>
          <w:lang w:eastAsia="zh-CN"/>
        </w:rPr>
        <w:t>公告</w:t>
      </w:r>
      <w:r>
        <w:rPr>
          <w:rFonts w:ascii="楷体_GB2312" w:eastAsia="楷体_GB2312"/>
          <w:sz w:val="24"/>
          <w:highlight w:val="none"/>
        </w:rPr>
        <w:t>，甲乙双方就</w:t>
      </w:r>
      <w:r>
        <w:rPr>
          <w:rFonts w:hint="eastAsia" w:ascii="楷体_GB2312" w:eastAsia="楷体_GB2312"/>
          <w:sz w:val="24"/>
          <w:highlight w:val="none"/>
          <w:u w:val="single"/>
          <w:lang w:val="en-US" w:eastAsia="zh-CN"/>
        </w:rPr>
        <w:t xml:space="preserve"> 【填写采购内容】 </w:t>
      </w:r>
      <w:r>
        <w:rPr>
          <w:rFonts w:ascii="楷体_GB2312" w:eastAsia="楷体_GB2312"/>
          <w:sz w:val="24"/>
          <w:highlight w:val="none"/>
        </w:rPr>
        <w:t>签订本合同书。</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sz w:val="24"/>
          <w:highlight w:val="none"/>
        </w:rPr>
      </w:pPr>
      <w:r>
        <w:rPr>
          <w:rFonts w:ascii="黑体" w:hAnsi="黑体" w:eastAsia="黑体"/>
          <w:sz w:val="24"/>
          <w:highlight w:val="none"/>
        </w:rPr>
        <w:t>一、合同有效期限</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1、</w:t>
      </w:r>
      <w:r>
        <w:rPr>
          <w:rFonts w:hint="eastAsia" w:ascii="楷体_GB2312" w:eastAsia="楷体_GB2312"/>
          <w:sz w:val="24"/>
          <w:highlight w:val="none"/>
          <w:lang w:val="en-US" w:eastAsia="zh-CN"/>
        </w:rPr>
        <w:t>本合同有效期【 】年</w:t>
      </w:r>
      <w:r>
        <w:rPr>
          <w:rFonts w:ascii="楷体_GB2312" w:eastAsia="楷体_GB2312"/>
          <w:sz w:val="24"/>
          <w:highlight w:val="none"/>
        </w:rPr>
        <w:t>。</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2、合同到期后，基于本合同实质性内容不变情况下，经双方协商后可续期一年。</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sz w:val="24"/>
          <w:highlight w:val="none"/>
        </w:rPr>
      </w:pPr>
      <w:r>
        <w:rPr>
          <w:rFonts w:ascii="黑体" w:hAnsi="黑体" w:eastAsia="黑体"/>
          <w:sz w:val="24"/>
          <w:highlight w:val="none"/>
        </w:rPr>
        <w:t>二、采购</w:t>
      </w:r>
      <w:r>
        <w:rPr>
          <w:rFonts w:hint="eastAsia" w:ascii="黑体" w:hAnsi="黑体" w:eastAsia="黑体"/>
          <w:sz w:val="24"/>
          <w:highlight w:val="none"/>
          <w:lang w:eastAsia="zh-CN"/>
        </w:rPr>
        <w:t>内容及价格</w:t>
      </w:r>
    </w:p>
    <w:tbl>
      <w:tblPr>
        <w:tblStyle w:val="10"/>
        <w:tblpPr w:leftFromText="180" w:rightFromText="180" w:vertAnchor="text" w:horzAnchor="page" w:tblpX="1459" w:tblpY="3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161"/>
        <w:gridCol w:w="1085"/>
        <w:gridCol w:w="1285"/>
        <w:gridCol w:w="541"/>
        <w:gridCol w:w="1031"/>
        <w:gridCol w:w="293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序号</w:t>
            </w:r>
          </w:p>
        </w:tc>
        <w:tc>
          <w:tcPr>
            <w:tcW w:w="1161"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名称</w:t>
            </w:r>
          </w:p>
        </w:tc>
        <w:tc>
          <w:tcPr>
            <w:tcW w:w="1085"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年采购量</w:t>
            </w:r>
          </w:p>
        </w:tc>
        <w:tc>
          <w:tcPr>
            <w:tcW w:w="1285"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不含税单价</w:t>
            </w:r>
          </w:p>
        </w:tc>
        <w:tc>
          <w:tcPr>
            <w:tcW w:w="541"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税率</w:t>
            </w:r>
          </w:p>
        </w:tc>
        <w:tc>
          <w:tcPr>
            <w:tcW w:w="1031"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含税金额</w:t>
            </w:r>
          </w:p>
        </w:tc>
        <w:tc>
          <w:tcPr>
            <w:tcW w:w="2934"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要求</w:t>
            </w:r>
          </w:p>
        </w:tc>
        <w:tc>
          <w:tcPr>
            <w:tcW w:w="624"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1</w:t>
            </w:r>
          </w:p>
        </w:tc>
        <w:tc>
          <w:tcPr>
            <w:tcW w:w="1161"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p>
        </w:tc>
        <w:tc>
          <w:tcPr>
            <w:tcW w:w="1085"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p>
        </w:tc>
        <w:tc>
          <w:tcPr>
            <w:tcW w:w="1285" w:type="dxa"/>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p>
        </w:tc>
        <w:tc>
          <w:tcPr>
            <w:tcW w:w="541" w:type="dxa"/>
            <w:noWrap w:val="0"/>
            <w:vAlign w:val="center"/>
          </w:tcPr>
          <w:p>
            <w:pPr>
              <w:tabs>
                <w:tab w:val="left" w:pos="5325"/>
              </w:tabs>
              <w:spacing w:line="480" w:lineRule="exact"/>
              <w:contextualSpacing/>
              <w:jc w:val="right"/>
              <w:rPr>
                <w:rFonts w:hint="eastAsia" w:ascii="宋体" w:hAnsi="宋体"/>
                <w:color w:val="000000"/>
                <w:sz w:val="18"/>
                <w:szCs w:val="18"/>
                <w:highlight w:val="none"/>
                <w:vertAlign w:val="baseline"/>
                <w:lang w:val="en-US" w:eastAsia="zh-CN"/>
              </w:rPr>
            </w:pPr>
          </w:p>
        </w:tc>
        <w:tc>
          <w:tcPr>
            <w:tcW w:w="1031" w:type="dxa"/>
            <w:noWrap w:val="0"/>
            <w:vAlign w:val="center"/>
          </w:tcPr>
          <w:p>
            <w:pPr>
              <w:tabs>
                <w:tab w:val="left" w:pos="5325"/>
              </w:tabs>
              <w:spacing w:line="480" w:lineRule="exact"/>
              <w:contextualSpacing/>
              <w:jc w:val="right"/>
              <w:rPr>
                <w:rFonts w:hint="eastAsia" w:ascii="宋体" w:hAnsi="宋体"/>
                <w:color w:val="000000"/>
                <w:sz w:val="18"/>
                <w:szCs w:val="18"/>
                <w:highlight w:val="none"/>
                <w:vertAlign w:val="baseline"/>
                <w:lang w:val="en-US" w:eastAsia="zh-CN"/>
              </w:rPr>
            </w:pPr>
          </w:p>
        </w:tc>
        <w:tc>
          <w:tcPr>
            <w:tcW w:w="2934" w:type="dxa"/>
            <w:noWrap w:val="0"/>
            <w:vAlign w:val="center"/>
          </w:tcPr>
          <w:p>
            <w:pPr>
              <w:tabs>
                <w:tab w:val="left" w:pos="5325"/>
              </w:tabs>
              <w:spacing w:line="480" w:lineRule="exact"/>
              <w:contextualSpacing/>
              <w:jc w:val="left"/>
              <w:rPr>
                <w:rFonts w:hint="eastAsia" w:ascii="宋体" w:hAnsi="宋体"/>
                <w:color w:val="000000"/>
                <w:sz w:val="18"/>
                <w:szCs w:val="18"/>
                <w:highlight w:val="none"/>
                <w:vertAlign w:val="baseline"/>
                <w:lang w:val="en-US" w:eastAsia="zh-CN"/>
              </w:rPr>
            </w:pPr>
          </w:p>
        </w:tc>
        <w:tc>
          <w:tcPr>
            <w:tcW w:w="624" w:type="dxa"/>
            <w:noWrap w:val="0"/>
            <w:vAlign w:val="center"/>
          </w:tcPr>
          <w:p>
            <w:pPr>
              <w:tabs>
                <w:tab w:val="left" w:pos="5325"/>
              </w:tabs>
              <w:spacing w:line="480" w:lineRule="exact"/>
              <w:contextualSpacing/>
              <w:jc w:val="center"/>
              <w:rPr>
                <w:rFonts w:hint="eastAsia" w:ascii="宋体" w:hAnsi="宋体" w:eastAsia="宋体"/>
                <w:color w:val="000000"/>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gridSpan w:val="4"/>
            <w:noWrap w:val="0"/>
            <w:vAlign w:val="center"/>
          </w:tcPr>
          <w:p>
            <w:pPr>
              <w:tabs>
                <w:tab w:val="left" w:pos="5325"/>
              </w:tabs>
              <w:spacing w:line="480" w:lineRule="exact"/>
              <w:contextualSpacing/>
              <w:jc w:val="center"/>
              <w:rPr>
                <w:rFonts w:hint="eastAsia" w:ascii="宋体" w:hAnsi="宋体"/>
                <w:color w:val="000000"/>
                <w:sz w:val="18"/>
                <w:szCs w:val="18"/>
                <w:highlight w:val="none"/>
                <w:vertAlign w:val="baseline"/>
                <w:lang w:val="en-US" w:eastAsia="zh-CN"/>
              </w:rPr>
            </w:pPr>
            <w:r>
              <w:rPr>
                <w:rFonts w:hint="eastAsia" w:ascii="宋体" w:hAnsi="宋体"/>
                <w:color w:val="000000"/>
                <w:sz w:val="18"/>
                <w:szCs w:val="18"/>
                <w:highlight w:val="none"/>
                <w:vertAlign w:val="baseline"/>
                <w:lang w:val="en-US" w:eastAsia="zh-CN"/>
              </w:rPr>
              <w:t>合计（含税）</w:t>
            </w:r>
          </w:p>
        </w:tc>
        <w:tc>
          <w:tcPr>
            <w:tcW w:w="541" w:type="dxa"/>
            <w:noWrap w:val="0"/>
            <w:vAlign w:val="center"/>
          </w:tcPr>
          <w:p>
            <w:pPr>
              <w:tabs>
                <w:tab w:val="left" w:pos="5325"/>
              </w:tabs>
              <w:spacing w:line="480" w:lineRule="exact"/>
              <w:contextualSpacing/>
              <w:jc w:val="right"/>
              <w:rPr>
                <w:rFonts w:hint="eastAsia" w:ascii="宋体" w:hAnsi="宋体"/>
                <w:color w:val="000000"/>
                <w:sz w:val="18"/>
                <w:szCs w:val="18"/>
                <w:highlight w:val="none"/>
                <w:vertAlign w:val="baseline"/>
                <w:lang w:val="en-US" w:eastAsia="zh-CN"/>
              </w:rPr>
            </w:pPr>
          </w:p>
        </w:tc>
        <w:tc>
          <w:tcPr>
            <w:tcW w:w="1031" w:type="dxa"/>
            <w:noWrap w:val="0"/>
            <w:vAlign w:val="center"/>
          </w:tcPr>
          <w:p>
            <w:pPr>
              <w:tabs>
                <w:tab w:val="left" w:pos="5325"/>
              </w:tabs>
              <w:spacing w:line="480" w:lineRule="exact"/>
              <w:contextualSpacing/>
              <w:jc w:val="right"/>
              <w:rPr>
                <w:rFonts w:hint="eastAsia" w:ascii="宋体" w:hAnsi="宋体"/>
                <w:color w:val="000000"/>
                <w:sz w:val="18"/>
                <w:szCs w:val="18"/>
                <w:highlight w:val="none"/>
                <w:vertAlign w:val="baseline"/>
                <w:lang w:val="en-US" w:eastAsia="zh-CN"/>
              </w:rPr>
            </w:pPr>
          </w:p>
        </w:tc>
        <w:tc>
          <w:tcPr>
            <w:tcW w:w="3558" w:type="dxa"/>
            <w:gridSpan w:val="2"/>
            <w:noWrap w:val="0"/>
            <w:vAlign w:val="center"/>
          </w:tcPr>
          <w:p>
            <w:pPr>
              <w:tabs>
                <w:tab w:val="left" w:pos="5325"/>
              </w:tabs>
              <w:spacing w:line="480" w:lineRule="exact"/>
              <w:contextualSpacing/>
              <w:jc w:val="left"/>
              <w:rPr>
                <w:rFonts w:hint="eastAsia" w:ascii="宋体" w:hAnsi="宋体"/>
                <w:color w:val="000000"/>
                <w:sz w:val="18"/>
                <w:szCs w:val="18"/>
                <w:highlight w:val="none"/>
                <w:vertAlign w:val="baseline"/>
                <w:lang w:val="en-US" w:eastAsia="zh-CN"/>
              </w:rPr>
            </w:pPr>
          </w:p>
        </w:tc>
      </w:tr>
    </w:tbl>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eastAsia="楷体_GB2312"/>
          <w:bCs/>
          <w:sz w:val="24"/>
          <w:highlight w:val="none"/>
        </w:rPr>
      </w:pPr>
      <w:r>
        <w:rPr>
          <w:rFonts w:ascii="楷体_GB2312" w:eastAsia="楷体_GB2312"/>
          <w:sz w:val="24"/>
          <w:highlight w:val="none"/>
        </w:rPr>
        <w:t>1、</w:t>
      </w:r>
      <w:r>
        <w:rPr>
          <w:rFonts w:hint="eastAsia" w:ascii="楷体_GB2312" w:eastAsia="楷体_GB2312"/>
          <w:sz w:val="24"/>
          <w:highlight w:val="none"/>
          <w:lang w:eastAsia="zh-CN"/>
        </w:rPr>
        <w:t>货款按实际采购量计算</w:t>
      </w:r>
      <w:r>
        <w:rPr>
          <w:rFonts w:hint="eastAsia" w:eastAsia="楷体_GB2312"/>
          <w:bCs/>
          <w:sz w:val="24"/>
          <w:highlight w:val="none"/>
        </w:rPr>
        <w:t>。</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2、</w:t>
      </w:r>
      <w:r>
        <w:rPr>
          <w:rFonts w:hint="eastAsia" w:ascii="楷体_GB2312" w:eastAsia="楷体_GB2312"/>
          <w:sz w:val="24"/>
          <w:highlight w:val="none"/>
          <w:lang w:eastAsia="zh-CN"/>
        </w:rPr>
        <w:t>合同期内固定价格，不受市场价格变动影响</w:t>
      </w:r>
      <w:r>
        <w:rPr>
          <w:rFonts w:ascii="楷体_GB2312" w:eastAsia="楷体_GB2312"/>
          <w:sz w:val="24"/>
          <w:highlight w:val="none"/>
        </w:rPr>
        <w:t>。</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sz w:val="24"/>
          <w:highlight w:val="none"/>
        </w:rPr>
      </w:pPr>
      <w:r>
        <w:rPr>
          <w:rFonts w:ascii="黑体" w:hAnsi="黑体" w:eastAsia="黑体"/>
          <w:sz w:val="24"/>
          <w:highlight w:val="none"/>
        </w:rPr>
        <w:t>三、质量要求</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eastAsia="楷体_GB2312"/>
          <w:bCs/>
          <w:sz w:val="24"/>
          <w:highlight w:val="none"/>
          <w:lang w:eastAsia="zh-CN"/>
        </w:rPr>
      </w:pPr>
      <w:r>
        <w:rPr>
          <w:rFonts w:hint="eastAsia" w:ascii="楷体_GB2312" w:eastAsia="楷体_GB2312"/>
          <w:sz w:val="24"/>
          <w:highlight w:val="none"/>
        </w:rPr>
        <w:t>1、乙方严格按照采购要求提供符合国家标准的合格产品，并提供产品检验报告。</w:t>
      </w:r>
      <w:r>
        <w:rPr>
          <w:rFonts w:hint="eastAsia" w:eastAsia="楷体_GB2312"/>
          <w:bCs/>
          <w:sz w:val="24"/>
          <w:highlight w:val="none"/>
          <w:lang w:val="en-US" w:eastAsia="zh-CN"/>
        </w:rPr>
        <w:t>所供产品</w:t>
      </w:r>
      <w:r>
        <w:rPr>
          <w:rFonts w:eastAsia="楷体_GB2312"/>
          <w:bCs/>
          <w:sz w:val="24"/>
          <w:highlight w:val="none"/>
        </w:rPr>
        <w:t>符合</w:t>
      </w:r>
      <w:r>
        <w:rPr>
          <w:rFonts w:hint="eastAsia" w:eastAsia="楷体_GB2312"/>
          <w:bCs/>
          <w:sz w:val="24"/>
          <w:highlight w:val="none"/>
          <w:lang w:eastAsia="zh-CN"/>
        </w:rPr>
        <w:t>以下标准：</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default" w:eastAsia="楷体_GB2312"/>
          <w:bCs/>
          <w:sz w:val="24"/>
          <w:highlight w:val="none"/>
          <w:lang w:val="en-US"/>
        </w:rPr>
      </w:pPr>
      <w:r>
        <w:rPr>
          <w:rFonts w:hint="eastAsia" w:eastAsia="楷体_GB2312"/>
          <w:bCs/>
          <w:sz w:val="24"/>
          <w:highlight w:val="none"/>
          <w:lang w:eastAsia="zh-CN"/>
        </w:rPr>
        <w:t>【食品标准】：</w:t>
      </w:r>
      <w:r>
        <w:rPr>
          <w:rFonts w:hint="eastAsia" w:eastAsia="楷体_GB2312"/>
          <w:bCs/>
          <w:sz w:val="24"/>
          <w:highlight w:val="none"/>
          <w:u w:val="single"/>
          <w:lang w:val="en-US" w:eastAsia="zh-CN"/>
        </w:rPr>
        <w:t xml:space="preserve">             。</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eastAsia="楷体_GB2312"/>
          <w:bCs/>
          <w:sz w:val="24"/>
          <w:highlight w:val="none"/>
        </w:rPr>
      </w:pPr>
      <w:r>
        <w:rPr>
          <w:rFonts w:hint="eastAsia" w:ascii="楷体_GB2312" w:eastAsia="楷体_GB2312"/>
          <w:sz w:val="24"/>
          <w:highlight w:val="none"/>
          <w:lang w:val="en-US" w:eastAsia="zh-CN"/>
        </w:rPr>
        <w:t>2、</w:t>
      </w:r>
      <w:r>
        <w:rPr>
          <w:rFonts w:hint="eastAsia" w:eastAsia="楷体_GB2312"/>
          <w:bCs/>
          <w:sz w:val="24"/>
          <w:highlight w:val="none"/>
        </w:rPr>
        <w:t>供货时的剩余质保期不少于三分之二。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_GB2312" w:eastAsia="楷体_GB2312"/>
          <w:sz w:val="24"/>
          <w:highlight w:val="none"/>
          <w:lang w:val="en-US" w:eastAsia="zh-CN"/>
        </w:rPr>
      </w:pPr>
      <w:r>
        <w:rPr>
          <w:rFonts w:hint="eastAsia" w:ascii="楷体_GB2312" w:eastAsia="楷体_GB2312"/>
          <w:sz w:val="24"/>
          <w:highlight w:val="none"/>
          <w:lang w:val="en-US" w:eastAsia="zh-CN"/>
        </w:rPr>
        <w:t>3</w:t>
      </w:r>
      <w:r>
        <w:rPr>
          <w:rFonts w:ascii="楷体_GB2312" w:eastAsia="楷体_GB2312"/>
          <w:sz w:val="24"/>
          <w:highlight w:val="none"/>
        </w:rPr>
        <w:t>、乙方所供</w:t>
      </w:r>
      <w:r>
        <w:rPr>
          <w:rFonts w:hint="eastAsia" w:ascii="楷体_GB2312" w:eastAsia="楷体_GB2312"/>
          <w:sz w:val="24"/>
          <w:highlight w:val="none"/>
          <w:lang w:eastAsia="zh-CN"/>
        </w:rPr>
        <w:t>货物</w:t>
      </w:r>
      <w:r>
        <w:rPr>
          <w:rFonts w:ascii="楷体_GB2312" w:eastAsia="楷体_GB2312"/>
          <w:sz w:val="24"/>
          <w:highlight w:val="none"/>
        </w:rPr>
        <w:t>，必须符合食品法标准，</w:t>
      </w:r>
      <w:r>
        <w:rPr>
          <w:rFonts w:hint="eastAsia" w:ascii="楷体_GB2312" w:eastAsia="楷体_GB2312"/>
          <w:sz w:val="24"/>
          <w:highlight w:val="none"/>
          <w:lang w:eastAsia="zh-CN"/>
        </w:rPr>
        <w:t>确保食品安全。</w:t>
      </w:r>
      <w:r>
        <w:rPr>
          <w:rFonts w:ascii="楷体_GB2312" w:eastAsia="楷体_GB2312"/>
          <w:sz w:val="24"/>
          <w:highlight w:val="none"/>
        </w:rPr>
        <w:t>如发现产品质量问题或者以次充好，甲方可立即无条件退货或换货，并要求乙方支付相当的违约金。</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lang w:eastAsia="zh-CN"/>
        </w:rPr>
      </w:pPr>
      <w:r>
        <w:rPr>
          <w:rFonts w:hint="eastAsia" w:ascii="楷体_GB2312" w:eastAsia="楷体_GB2312"/>
          <w:sz w:val="24"/>
          <w:highlight w:val="none"/>
          <w:lang w:val="en-US" w:eastAsia="zh-CN"/>
        </w:rPr>
        <w:t>4</w:t>
      </w:r>
      <w:r>
        <w:rPr>
          <w:rFonts w:ascii="楷体_GB2312" w:eastAsia="楷体_GB2312"/>
          <w:sz w:val="24"/>
          <w:highlight w:val="none"/>
        </w:rPr>
        <w:t>、乙方保证</w:t>
      </w:r>
      <w:r>
        <w:rPr>
          <w:rFonts w:hint="eastAsia" w:ascii="楷体_GB2312" w:eastAsia="楷体_GB2312"/>
          <w:sz w:val="24"/>
          <w:highlight w:val="none"/>
          <w:lang w:eastAsia="zh-CN"/>
        </w:rPr>
        <w:t>甲方</w:t>
      </w:r>
      <w:r>
        <w:rPr>
          <w:rFonts w:ascii="楷体_GB2312" w:eastAsia="楷体_GB2312"/>
          <w:sz w:val="24"/>
          <w:highlight w:val="none"/>
        </w:rPr>
        <w:t>对所供产品质量提出质疑的，应予以退换，并保证在</w:t>
      </w:r>
      <w:r>
        <w:rPr>
          <w:rFonts w:hint="eastAsia" w:ascii="楷体_GB2312" w:eastAsia="楷体_GB2312"/>
          <w:sz w:val="24"/>
          <w:highlight w:val="none"/>
          <w:lang w:val="en-US" w:eastAsia="zh-CN"/>
        </w:rPr>
        <w:t>2</w:t>
      </w:r>
      <w:r>
        <w:rPr>
          <w:rFonts w:ascii="楷体_GB2312" w:eastAsia="楷体_GB2312"/>
          <w:sz w:val="24"/>
          <w:highlight w:val="none"/>
        </w:rPr>
        <w:t>小时</w:t>
      </w:r>
      <w:r>
        <w:rPr>
          <w:rFonts w:ascii="楷体_GB2312" w:eastAsia="楷体_GB2312"/>
          <w:sz w:val="24"/>
          <w:highlight w:val="none"/>
        </w:rPr>
        <w:t>内送达或提出解决方案，不影响</w:t>
      </w:r>
      <w:r>
        <w:rPr>
          <w:rFonts w:hint="eastAsia" w:ascii="楷体_GB2312" w:eastAsia="楷体_GB2312"/>
          <w:sz w:val="24"/>
          <w:highlight w:val="none"/>
          <w:lang w:eastAsia="zh-CN"/>
        </w:rPr>
        <w:t>机场保障工作</w:t>
      </w:r>
      <w:r>
        <w:rPr>
          <w:rFonts w:ascii="楷体_GB2312" w:eastAsia="楷体_GB2312"/>
          <w:sz w:val="24"/>
          <w:highlight w:val="none"/>
        </w:rPr>
        <w:t>。</w:t>
      </w:r>
      <w:r>
        <w:rPr>
          <w:rFonts w:hint="eastAsia" w:ascii="楷体_GB2312" w:eastAsia="楷体_GB2312"/>
          <w:sz w:val="24"/>
          <w:highlight w:val="none"/>
          <w:lang w:eastAsia="zh-CN"/>
        </w:rPr>
        <w:t>双方对产品质量持不同意见的，将产品送政府质量检测部门检验。如检验不合格，检验费用由乙方承担，并取消供应资格。</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sz w:val="24"/>
          <w:highlight w:val="none"/>
        </w:rPr>
      </w:pPr>
      <w:r>
        <w:rPr>
          <w:rFonts w:ascii="黑体" w:hAnsi="黑体" w:eastAsia="黑体"/>
          <w:sz w:val="24"/>
          <w:highlight w:val="none"/>
        </w:rPr>
        <w:t>四、费用结算</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eastAsia="zh-CN"/>
        </w:rPr>
        <w:t>每月结算一次，</w:t>
      </w:r>
      <w:r>
        <w:rPr>
          <w:rFonts w:ascii="楷体_GB2312" w:eastAsia="楷体_GB2312"/>
          <w:sz w:val="24"/>
          <w:highlight w:val="none"/>
        </w:rPr>
        <w:t>乙方须开具</w:t>
      </w:r>
      <w:r>
        <w:rPr>
          <w:rFonts w:hint="eastAsia" w:ascii="楷体_GB2312" w:eastAsia="楷体_GB2312"/>
          <w:sz w:val="24"/>
          <w:highlight w:val="none"/>
          <w:lang w:eastAsia="zh-CN"/>
        </w:rPr>
        <w:t>增值税专用</w:t>
      </w:r>
      <w:r>
        <w:rPr>
          <w:rFonts w:ascii="楷体_GB2312" w:eastAsia="楷体_GB2312"/>
          <w:sz w:val="24"/>
          <w:highlight w:val="none"/>
        </w:rPr>
        <w:t>发票</w:t>
      </w:r>
      <w:r>
        <w:rPr>
          <w:rFonts w:hint="eastAsia" w:ascii="楷体_GB2312" w:eastAsia="楷体_GB2312"/>
          <w:sz w:val="24"/>
          <w:highlight w:val="none"/>
          <w:lang w:eastAsia="zh-CN"/>
        </w:rPr>
        <w:t>，并提供每批送货时的货物验收交接单（附件一），甲方收票后在</w:t>
      </w:r>
      <w:r>
        <w:rPr>
          <w:rFonts w:hint="eastAsia" w:ascii="楷体_GB2312" w:eastAsia="楷体_GB2312"/>
          <w:sz w:val="24"/>
          <w:highlight w:val="none"/>
          <w:lang w:val="en-US" w:eastAsia="zh-CN"/>
        </w:rPr>
        <w:t>10工作日内付款。</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sz w:val="24"/>
          <w:highlight w:val="none"/>
        </w:rPr>
      </w:pPr>
      <w:r>
        <w:rPr>
          <w:rFonts w:ascii="黑体" w:hAnsi="黑体" w:eastAsia="黑体"/>
          <w:sz w:val="24"/>
          <w:highlight w:val="none"/>
        </w:rPr>
        <w:t>五、交货地点</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eastAsia="zh-CN"/>
        </w:rPr>
        <w:t>【</w:t>
      </w:r>
      <w:r>
        <w:rPr>
          <w:rFonts w:hint="eastAsia" w:ascii="楷体_GB2312" w:eastAsia="楷体_GB2312"/>
          <w:sz w:val="24"/>
          <w:highlight w:val="none"/>
          <w:lang w:val="en-US" w:eastAsia="zh-CN"/>
        </w:rPr>
        <w:t xml:space="preserve">    </w:t>
      </w:r>
      <w:r>
        <w:rPr>
          <w:rFonts w:hint="eastAsia" w:ascii="楷体_GB2312" w:eastAsia="楷体_GB2312"/>
          <w:sz w:val="24"/>
          <w:highlight w:val="none"/>
          <w:lang w:eastAsia="zh-CN"/>
        </w:rPr>
        <w:t>】</w:t>
      </w:r>
      <w:r>
        <w:rPr>
          <w:rFonts w:ascii="楷体_GB2312" w:eastAsia="楷体_GB2312"/>
          <w:sz w:val="24"/>
          <w:highlight w:val="none"/>
        </w:rPr>
        <w:t>。</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sz w:val="24"/>
          <w:highlight w:val="none"/>
        </w:rPr>
      </w:pPr>
      <w:r>
        <w:rPr>
          <w:rFonts w:ascii="黑体" w:hAnsi="黑体" w:eastAsia="黑体"/>
          <w:sz w:val="24"/>
          <w:highlight w:val="none"/>
        </w:rPr>
        <w:t>六、履约保证金</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1、</w:t>
      </w:r>
      <w:r>
        <w:rPr>
          <w:rFonts w:hint="eastAsia" w:ascii="楷体_GB2312" w:eastAsia="楷体_GB2312"/>
          <w:sz w:val="24"/>
          <w:highlight w:val="none"/>
          <w:lang w:eastAsia="zh-CN"/>
        </w:rPr>
        <w:t>签订合同前，乙方需交【</w:t>
      </w:r>
      <w:r>
        <w:rPr>
          <w:rFonts w:hint="eastAsia" w:ascii="楷体_GB2312" w:eastAsia="楷体_GB2312"/>
          <w:sz w:val="24"/>
          <w:highlight w:val="none"/>
          <w:lang w:val="en-US" w:eastAsia="zh-CN"/>
        </w:rPr>
        <w:t xml:space="preserve">  </w:t>
      </w:r>
      <w:r>
        <w:rPr>
          <w:rFonts w:hint="eastAsia" w:ascii="楷体_GB2312" w:eastAsia="楷体_GB2312"/>
          <w:sz w:val="24"/>
          <w:highlight w:val="none"/>
          <w:lang w:eastAsia="zh-CN"/>
        </w:rPr>
        <w:t>】元履约保证金，</w:t>
      </w:r>
      <w:r>
        <w:rPr>
          <w:rFonts w:ascii="楷体_GB2312" w:eastAsia="楷体_GB2312"/>
          <w:sz w:val="24"/>
          <w:highlight w:val="none"/>
        </w:rPr>
        <w:t>合同期内无服务质量问题，合同期满无息归还履约保证金。</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lang w:eastAsia="zh-CN"/>
        </w:rPr>
      </w:pPr>
      <w:r>
        <w:rPr>
          <w:rFonts w:hint="eastAsia" w:ascii="楷体_GB2312" w:eastAsia="楷体_GB2312"/>
          <w:sz w:val="24"/>
          <w:highlight w:val="none"/>
          <w:lang w:val="en-US" w:eastAsia="zh-CN"/>
        </w:rPr>
        <w:t>2、</w:t>
      </w:r>
      <w:r>
        <w:rPr>
          <w:rFonts w:hint="eastAsia" w:ascii="楷体_GB2312" w:eastAsia="楷体_GB2312"/>
          <w:sz w:val="24"/>
          <w:highlight w:val="none"/>
          <w:lang w:eastAsia="zh-CN"/>
        </w:rPr>
        <w:t>如卖方不能按约定履约的，第一次扣履约保证金的50%，第二次扣履约保证金的100%，前二次发生不能履约情况的，招标人一周内直接从货款中补齐履约保证金；第三次出现不能履约情况的，没收全部履约保证金并取消供应商资格。如个别单品因卖方原因不能提供，买方为满足生产需要，另行采购发生的超额费用由卖方承担，履约保证金不足以弥补给买方造成的损失时，买方保留索赔的权利。</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lang w:eastAsia="zh-CN"/>
        </w:rPr>
      </w:pPr>
      <w:r>
        <w:rPr>
          <w:rFonts w:hint="eastAsia" w:ascii="楷体_GB2312" w:eastAsia="楷体_GB2312"/>
          <w:sz w:val="24"/>
          <w:highlight w:val="none"/>
          <w:lang w:val="en-US" w:eastAsia="zh-CN"/>
        </w:rPr>
        <w:t>3、</w:t>
      </w:r>
      <w:r>
        <w:rPr>
          <w:rFonts w:hint="eastAsia" w:ascii="楷体_GB2312" w:eastAsia="楷体_GB2312"/>
          <w:sz w:val="24"/>
          <w:highlight w:val="none"/>
          <w:lang w:eastAsia="zh-CN"/>
        </w:rPr>
        <w:t>如卖方供应假劣产品，一经发现，即取消供应商资格，并没收履约保证金。</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lang w:eastAsia="zh-CN"/>
        </w:rPr>
      </w:pPr>
      <w:r>
        <w:rPr>
          <w:rFonts w:hint="eastAsia" w:ascii="楷体_GB2312" w:eastAsia="楷体_GB2312"/>
          <w:sz w:val="24"/>
          <w:highlight w:val="none"/>
          <w:lang w:val="en-US" w:eastAsia="zh-CN"/>
        </w:rPr>
        <w:t>4、</w:t>
      </w:r>
      <w:r>
        <w:rPr>
          <w:rFonts w:hint="eastAsia" w:ascii="楷体_GB2312" w:eastAsia="楷体_GB2312"/>
          <w:sz w:val="24"/>
          <w:highlight w:val="none"/>
          <w:lang w:eastAsia="zh-CN"/>
        </w:rPr>
        <w:t>如卖方供应的产品非质量原因，给买方造成损失的，买方有权直接从履约保证金扣除赔偿金，卖方要在一周内补足履约保证金。</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黑体" w:hAnsi="黑体" w:eastAsia="黑体"/>
          <w:sz w:val="24"/>
          <w:highlight w:val="none"/>
          <w:lang w:eastAsia="zh-CN"/>
        </w:rPr>
      </w:pPr>
      <w:r>
        <w:rPr>
          <w:rFonts w:hint="eastAsia" w:ascii="黑体" w:hAnsi="黑体" w:eastAsia="黑体"/>
          <w:sz w:val="24"/>
          <w:highlight w:val="none"/>
          <w:lang w:eastAsia="zh-CN"/>
        </w:rPr>
        <w:t>七、双方责任</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lang w:val="en-US" w:eastAsia="zh-CN"/>
        </w:rPr>
      </w:pPr>
      <w:r>
        <w:rPr>
          <w:rFonts w:hint="eastAsia" w:ascii="楷体_GB2312" w:eastAsia="楷体_GB2312"/>
          <w:sz w:val="24"/>
          <w:highlight w:val="none"/>
          <w:lang w:val="en-US" w:eastAsia="zh-CN"/>
        </w:rPr>
        <w:t>（一）甲方责任：</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1、</w:t>
      </w:r>
      <w:r>
        <w:rPr>
          <w:rFonts w:ascii="楷体_GB2312" w:eastAsia="楷体_GB2312"/>
          <w:sz w:val="24"/>
          <w:highlight w:val="none"/>
        </w:rPr>
        <w:t>甲方</w:t>
      </w:r>
      <w:r>
        <w:rPr>
          <w:rFonts w:hint="eastAsia" w:ascii="楷体_GB2312" w:eastAsia="楷体_GB2312"/>
          <w:sz w:val="24"/>
          <w:highlight w:val="none"/>
          <w:lang w:eastAsia="zh-CN"/>
        </w:rPr>
        <w:t>正常订单提前</w:t>
      </w:r>
      <w:r>
        <w:rPr>
          <w:rFonts w:hint="eastAsia" w:ascii="楷体_GB2312" w:eastAsia="楷体_GB2312"/>
          <w:sz w:val="24"/>
          <w:highlight w:val="none"/>
          <w:lang w:val="en-US" w:eastAsia="zh-CN"/>
        </w:rPr>
        <w:t>1</w:t>
      </w:r>
      <w:r>
        <w:rPr>
          <w:rFonts w:hint="eastAsia" w:ascii="楷体_GB2312" w:eastAsia="楷体_GB2312"/>
          <w:sz w:val="24"/>
          <w:highlight w:val="none"/>
          <w:lang w:val="en-US" w:eastAsia="zh-CN"/>
        </w:rPr>
        <w:t>日通知乙方</w:t>
      </w:r>
      <w:r>
        <w:rPr>
          <w:rFonts w:ascii="楷体_GB2312" w:eastAsia="楷体_GB2312"/>
          <w:sz w:val="24"/>
          <w:highlight w:val="none"/>
        </w:rPr>
        <w:t>。</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2、</w:t>
      </w:r>
      <w:r>
        <w:rPr>
          <w:rFonts w:ascii="楷体_GB2312" w:eastAsia="楷体_GB2312"/>
          <w:sz w:val="24"/>
          <w:highlight w:val="none"/>
        </w:rPr>
        <w:t>甲方支持、配合乙方工作，</w:t>
      </w:r>
      <w:r>
        <w:rPr>
          <w:rFonts w:hint="eastAsia" w:ascii="楷体_GB2312" w:eastAsia="楷体_GB2312"/>
          <w:sz w:val="24"/>
          <w:highlight w:val="none"/>
          <w:lang w:eastAsia="zh-CN"/>
        </w:rPr>
        <w:t>甲方工作人员不得出现向</w:t>
      </w:r>
      <w:r>
        <w:rPr>
          <w:rFonts w:ascii="楷体_GB2312" w:eastAsia="楷体_GB2312"/>
          <w:sz w:val="24"/>
          <w:highlight w:val="none"/>
        </w:rPr>
        <w:t>乙方索要</w:t>
      </w:r>
      <w:r>
        <w:rPr>
          <w:rFonts w:hint="eastAsia" w:ascii="楷体_GB2312" w:eastAsia="楷体_GB2312"/>
          <w:sz w:val="24"/>
          <w:highlight w:val="none"/>
          <w:lang w:eastAsia="zh-CN"/>
        </w:rPr>
        <w:t>、</w:t>
      </w:r>
      <w:r>
        <w:rPr>
          <w:rFonts w:ascii="楷体_GB2312" w:eastAsia="楷体_GB2312"/>
          <w:sz w:val="24"/>
          <w:highlight w:val="none"/>
        </w:rPr>
        <w:t>为难</w:t>
      </w:r>
      <w:r>
        <w:rPr>
          <w:rFonts w:hint="eastAsia" w:ascii="楷体_GB2312" w:eastAsia="楷体_GB2312"/>
          <w:sz w:val="24"/>
          <w:highlight w:val="none"/>
          <w:lang w:eastAsia="zh-CN"/>
        </w:rPr>
        <w:t>行为</w:t>
      </w:r>
      <w:r>
        <w:rPr>
          <w:rFonts w:ascii="楷体_GB2312" w:eastAsia="楷体_GB2312"/>
          <w:sz w:val="24"/>
          <w:highlight w:val="none"/>
        </w:rPr>
        <w:t>。</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3、</w:t>
      </w:r>
      <w:r>
        <w:rPr>
          <w:rFonts w:ascii="楷体_GB2312" w:eastAsia="楷体_GB2312"/>
          <w:sz w:val="24"/>
          <w:highlight w:val="none"/>
        </w:rPr>
        <w:t>甲方如有需要，可约见乙方，当面商定进一步完善工作的措施。</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（二）乙方责任：</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1</w:t>
      </w:r>
      <w:r>
        <w:rPr>
          <w:rFonts w:hint="eastAsia" w:ascii="楷体_GB2312" w:eastAsia="楷体_GB2312"/>
          <w:sz w:val="24"/>
          <w:highlight w:val="none"/>
          <w:lang w:eastAsia="zh-CN"/>
        </w:rPr>
        <w:t>、</w:t>
      </w:r>
      <w:r>
        <w:rPr>
          <w:rFonts w:ascii="楷体_GB2312" w:eastAsia="楷体_GB2312"/>
          <w:sz w:val="24"/>
          <w:highlight w:val="none"/>
        </w:rPr>
        <w:t>乙方必须严格履行投标时的一切承诺。</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2</w:t>
      </w:r>
      <w:r>
        <w:rPr>
          <w:rFonts w:hint="eastAsia" w:ascii="楷体_GB2312" w:eastAsia="楷体_GB2312"/>
          <w:sz w:val="24"/>
          <w:highlight w:val="none"/>
          <w:lang w:eastAsia="zh-CN"/>
        </w:rPr>
        <w:t>、</w:t>
      </w:r>
      <w:r>
        <w:rPr>
          <w:rFonts w:ascii="楷体_GB2312" w:eastAsia="楷体_GB2312"/>
          <w:sz w:val="24"/>
          <w:highlight w:val="none"/>
        </w:rPr>
        <w:t>乙方必须根据约定的品种、规格、品牌、数量、质量</w:t>
      </w:r>
      <w:r>
        <w:rPr>
          <w:rFonts w:hint="eastAsia" w:ascii="楷体_GB2312" w:eastAsia="楷体_GB2312"/>
          <w:sz w:val="24"/>
          <w:highlight w:val="none"/>
          <w:lang w:eastAsia="zh-CN"/>
        </w:rPr>
        <w:t>和包装</w:t>
      </w:r>
      <w:r>
        <w:rPr>
          <w:rFonts w:ascii="楷体_GB2312" w:eastAsia="楷体_GB2312"/>
          <w:sz w:val="24"/>
          <w:highlight w:val="none"/>
        </w:rPr>
        <w:t>要求送货，并附配送清单</w:t>
      </w:r>
      <w:r>
        <w:rPr>
          <w:rFonts w:hint="eastAsia" w:ascii="楷体_GB2312" w:eastAsia="楷体_GB2312"/>
          <w:sz w:val="24"/>
          <w:highlight w:val="none"/>
          <w:lang w:eastAsia="zh-CN"/>
        </w:rPr>
        <w:t>。</w:t>
      </w:r>
      <w:r>
        <w:rPr>
          <w:rFonts w:hint="eastAsia" w:ascii="楷体_GB2312" w:eastAsia="楷体_GB2312"/>
          <w:sz w:val="24"/>
          <w:highlight w:val="none"/>
        </w:rPr>
        <w:t>月正常订单，</w:t>
      </w:r>
      <w:r>
        <w:rPr>
          <w:rFonts w:hint="eastAsia" w:ascii="楷体_GB2312" w:eastAsia="楷体_GB2312"/>
          <w:sz w:val="24"/>
          <w:highlight w:val="none"/>
          <w:lang w:val="en-US" w:eastAsia="zh-CN"/>
        </w:rPr>
        <w:t>24小时</w:t>
      </w:r>
      <w:r>
        <w:rPr>
          <w:rFonts w:hint="eastAsia" w:ascii="楷体_GB2312" w:eastAsia="楷体_GB2312"/>
          <w:sz w:val="24"/>
          <w:highlight w:val="none"/>
        </w:rPr>
        <w:t>内到库；应急补单，</w:t>
      </w:r>
      <w:r>
        <w:rPr>
          <w:rFonts w:hint="eastAsia" w:ascii="楷体_GB2312" w:eastAsia="楷体_GB2312"/>
          <w:sz w:val="24"/>
          <w:highlight w:val="none"/>
          <w:lang w:val="en-US" w:eastAsia="zh-CN"/>
        </w:rPr>
        <w:t>1.5</w:t>
      </w:r>
      <w:r>
        <w:rPr>
          <w:rFonts w:hint="eastAsia" w:ascii="楷体_GB2312" w:eastAsia="楷体_GB2312"/>
          <w:sz w:val="24"/>
          <w:highlight w:val="none"/>
        </w:rPr>
        <w:t>小时内到库</w:t>
      </w:r>
      <w:r>
        <w:rPr>
          <w:rFonts w:ascii="楷体_GB2312" w:eastAsia="楷体_GB2312"/>
          <w:sz w:val="24"/>
          <w:highlight w:val="none"/>
        </w:rPr>
        <w:t>。</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3</w:t>
      </w:r>
      <w:r>
        <w:rPr>
          <w:rFonts w:hint="eastAsia" w:ascii="楷体_GB2312" w:eastAsia="楷体_GB2312"/>
          <w:sz w:val="24"/>
          <w:highlight w:val="none"/>
          <w:lang w:eastAsia="zh-CN"/>
        </w:rPr>
        <w:t>、</w:t>
      </w:r>
      <w:r>
        <w:rPr>
          <w:rFonts w:ascii="楷体_GB2312" w:eastAsia="楷体_GB2312"/>
          <w:sz w:val="24"/>
          <w:highlight w:val="none"/>
        </w:rPr>
        <w:t>乙方在供货时应提供食品检验合格证或者化验单。</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4</w:t>
      </w:r>
      <w:r>
        <w:rPr>
          <w:rFonts w:hint="eastAsia" w:ascii="楷体_GB2312" w:eastAsia="楷体_GB2312"/>
          <w:sz w:val="24"/>
          <w:highlight w:val="none"/>
          <w:lang w:eastAsia="zh-CN"/>
        </w:rPr>
        <w:t>、</w:t>
      </w:r>
      <w:r>
        <w:rPr>
          <w:rFonts w:ascii="楷体_GB2312" w:eastAsia="楷体_GB2312"/>
          <w:sz w:val="24"/>
          <w:highlight w:val="none"/>
        </w:rPr>
        <w:t>乙方供货时不得提供以下食品：</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(1)无品名、产地、厂名、生产日期、保质期及中文标识及原料说明的定型包装食品；</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(2)超过保质期限或不符合食品标签规定的定型包装食品；</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(3)腐败变质、油脂酸败、霉变、生虫、污秽不洁、混有异物或者其他感官性状异常，含有毒、有害物质或者被有毒、有害物质污染，可能对人体健康有害的食品；</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(4)病死、死因不明或从疫区采购的水产品、畜、禽及其制品，不合格调味品，工业用盐，非食品原料和滥用食品添加剂，农药残留超标的水果、蔬菜等；</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(5)其他不符合食品卫生标准和要求的食品。</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5</w:t>
      </w:r>
      <w:r>
        <w:rPr>
          <w:rFonts w:hint="eastAsia" w:ascii="楷体_GB2312" w:eastAsia="楷体_GB2312"/>
          <w:sz w:val="24"/>
          <w:highlight w:val="none"/>
          <w:lang w:eastAsia="zh-CN"/>
        </w:rPr>
        <w:t>、</w:t>
      </w:r>
      <w:r>
        <w:rPr>
          <w:rFonts w:ascii="楷体_GB2312" w:eastAsia="楷体_GB2312"/>
          <w:sz w:val="24"/>
          <w:highlight w:val="none"/>
        </w:rPr>
        <w:t>乙方自觉遵守国家有关法律、法规</w:t>
      </w:r>
      <w:r>
        <w:rPr>
          <w:rFonts w:hint="eastAsia" w:ascii="楷体_GB2312" w:eastAsia="楷体_GB2312"/>
          <w:sz w:val="24"/>
          <w:highlight w:val="none"/>
          <w:lang w:eastAsia="zh-CN"/>
        </w:rPr>
        <w:t>，</w:t>
      </w:r>
      <w:r>
        <w:rPr>
          <w:rFonts w:ascii="楷体_GB2312" w:eastAsia="楷体_GB2312"/>
          <w:sz w:val="24"/>
          <w:highlight w:val="none"/>
        </w:rPr>
        <w:t>接受</w:t>
      </w:r>
      <w:r>
        <w:rPr>
          <w:rFonts w:hint="eastAsia" w:ascii="楷体_GB2312" w:eastAsia="楷体_GB2312"/>
          <w:sz w:val="24"/>
          <w:highlight w:val="none"/>
          <w:lang w:eastAsia="zh-CN"/>
        </w:rPr>
        <w:t>甲方</w:t>
      </w:r>
      <w:r>
        <w:rPr>
          <w:rFonts w:ascii="楷体_GB2312" w:eastAsia="楷体_GB2312"/>
          <w:sz w:val="24"/>
          <w:highlight w:val="none"/>
        </w:rPr>
        <w:t>的监管。</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lang w:eastAsia="zh-CN"/>
        </w:rPr>
      </w:pPr>
      <w:r>
        <w:rPr>
          <w:rFonts w:hint="eastAsia" w:ascii="楷体_GB2312" w:eastAsia="楷体_GB2312"/>
          <w:sz w:val="24"/>
          <w:highlight w:val="none"/>
          <w:lang w:eastAsia="zh-CN"/>
        </w:rPr>
        <w:t>（三）廉政责任</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rPr>
      </w:pPr>
      <w:r>
        <w:rPr>
          <w:rFonts w:hint="eastAsia" w:ascii="楷体_GB2312" w:eastAsia="楷体_GB2312"/>
          <w:sz w:val="24"/>
          <w:highlight w:val="none"/>
          <w:lang w:val="en-US" w:eastAsia="zh-CN"/>
        </w:rPr>
        <w:t>1、甲、乙双方</w:t>
      </w:r>
      <w:r>
        <w:rPr>
          <w:rFonts w:hint="eastAsia" w:ascii="楷体_GB2312" w:eastAsia="楷体_GB2312"/>
          <w:sz w:val="24"/>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楷体_GB2312" w:eastAsia="楷体_GB2312"/>
          <w:sz w:val="24"/>
          <w:highlight w:val="none"/>
          <w:lang w:eastAsia="zh-CN"/>
        </w:rPr>
        <w:t>服务项目</w:t>
      </w:r>
      <w:r>
        <w:rPr>
          <w:rFonts w:hint="eastAsia" w:ascii="楷体_GB2312" w:eastAsia="楷体_GB2312"/>
          <w:sz w:val="24"/>
          <w:highlight w:val="none"/>
        </w:rPr>
        <w:t>管理的规章制度。</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rPr>
      </w:pPr>
      <w:r>
        <w:rPr>
          <w:rFonts w:hint="eastAsia" w:ascii="楷体_GB2312" w:eastAsia="楷体_GB2312"/>
          <w:sz w:val="24"/>
          <w:highlight w:val="none"/>
          <w:lang w:val="en-US" w:eastAsia="zh-CN"/>
        </w:rPr>
        <w:t>2、</w:t>
      </w:r>
      <w:r>
        <w:rPr>
          <w:rFonts w:hint="eastAsia" w:ascii="楷体_GB2312" w:eastAsia="楷体_GB2312"/>
          <w:sz w:val="24"/>
          <w:highlight w:val="none"/>
        </w:rPr>
        <w:t>发现对方在业务活动中有违规、违纪、违法行为的，应及时提醒对方，情节严重的，应向其上级主管部门或纪检监察、司法等有关机关举报</w:t>
      </w:r>
      <w:r>
        <w:rPr>
          <w:rFonts w:hint="eastAsia" w:ascii="楷体_GB2312" w:eastAsia="楷体_GB2312"/>
          <w:sz w:val="24"/>
          <w:highlight w:val="none"/>
          <w:lang w:eastAsia="zh-CN"/>
        </w:rPr>
        <w:t>，</w:t>
      </w:r>
      <w:r>
        <w:rPr>
          <w:rFonts w:hint="eastAsia" w:ascii="楷体_GB2312" w:eastAsia="楷体_GB2312"/>
          <w:sz w:val="24"/>
          <w:highlight w:val="none"/>
        </w:rPr>
        <w:t>依据有关法律法规和规定给予党纪、政纪处分或组织处理；涉嫌犯罪的，移交司法机关追究刑事责任；给</w:t>
      </w:r>
      <w:r>
        <w:rPr>
          <w:rFonts w:hint="eastAsia" w:ascii="楷体_GB2312" w:eastAsia="楷体_GB2312"/>
          <w:sz w:val="24"/>
          <w:highlight w:val="none"/>
          <w:lang w:eastAsia="zh-CN"/>
        </w:rPr>
        <w:t>对方</w:t>
      </w:r>
      <w:r>
        <w:rPr>
          <w:rFonts w:hint="eastAsia" w:ascii="楷体_GB2312" w:eastAsia="楷体_GB2312"/>
          <w:sz w:val="24"/>
          <w:highlight w:val="none"/>
        </w:rPr>
        <w:t>单位造成经济损失的，应予以赔偿。</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lang w:eastAsia="zh-CN"/>
        </w:rPr>
      </w:pPr>
      <w:r>
        <w:rPr>
          <w:rFonts w:hint="eastAsia" w:ascii="楷体_GB2312" w:eastAsia="楷体_GB2312"/>
          <w:sz w:val="24"/>
          <w:highlight w:val="none"/>
          <w:lang w:val="en-US" w:eastAsia="zh-CN"/>
        </w:rPr>
        <w:t>3、</w:t>
      </w:r>
      <w:r>
        <w:rPr>
          <w:rFonts w:hint="eastAsia" w:ascii="楷体_GB2312" w:eastAsia="楷体_GB2312"/>
          <w:sz w:val="24"/>
          <w:highlight w:val="none"/>
          <w:lang w:eastAsia="zh-CN"/>
        </w:rPr>
        <w:t>甲、乙双方应当保持正常的业务活动，不得产生非业务的活动，不得存在影响公正执行公务的行为。甲方不得要求、暗示、或接受乙方提供的与利益相关的活动、安排和服务。乙方不得向甲方提供回扣、礼金、报销、为近亲属安排工作、旅游等存在利益输送的行为活动。</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sz w:val="24"/>
          <w:highlight w:val="none"/>
        </w:rPr>
      </w:pPr>
      <w:r>
        <w:rPr>
          <w:rFonts w:hint="eastAsia" w:ascii="黑体" w:hAnsi="黑体" w:eastAsia="黑体"/>
          <w:sz w:val="24"/>
          <w:highlight w:val="none"/>
          <w:lang w:eastAsia="zh-CN"/>
        </w:rPr>
        <w:t>八</w:t>
      </w:r>
      <w:r>
        <w:rPr>
          <w:rFonts w:ascii="黑体" w:hAnsi="黑体" w:eastAsia="黑体"/>
          <w:sz w:val="24"/>
          <w:highlight w:val="none"/>
        </w:rPr>
        <w:t>、违约责任</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1、在业务往来过程中，乙方非因不可抗力造成违约或疏忽，延误，造成较大影响的，甲方将从乙方缴纳的履约保证金中扣回相应损失，或采取法律手段解决索赔事宜。因乙方所供货物的质量问题，引发食物中毒等恶性事故的，除全部退货外，乙方应承担由此造成的经济责任和法律责任。</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2、上述的“不可抗力”系指那些乙方不可预见、不可避免、无法控制的事件，但不包括乙方的违约或疏忽，这些事件包括但不限于：战争、洪水、台风、地震及其他双方商定的事件。</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3、</w:t>
      </w:r>
      <w:r>
        <w:rPr>
          <w:rFonts w:hint="eastAsia" w:ascii="楷体_GB2312" w:eastAsia="楷体_GB2312"/>
          <w:sz w:val="24"/>
          <w:highlight w:val="none"/>
          <w:lang w:eastAsia="zh-CN"/>
        </w:rPr>
        <w:t>甲方</w:t>
      </w:r>
      <w:r>
        <w:rPr>
          <w:rFonts w:ascii="楷体_GB2312" w:eastAsia="楷体_GB2312"/>
          <w:sz w:val="24"/>
          <w:highlight w:val="none"/>
        </w:rPr>
        <w:t>发现乙方有不良行为或违反招标文件和投标文件中的服务承诺规定的，一经查实，视情节严重情况酌情扣除乙方缴纳的履约保证金，</w:t>
      </w:r>
      <w:r>
        <w:rPr>
          <w:rFonts w:hint="eastAsia" w:ascii="楷体_GB2312" w:eastAsia="楷体_GB2312"/>
          <w:sz w:val="24"/>
          <w:highlight w:val="none"/>
        </w:rPr>
        <w:t>情节严重的，终止合同</w:t>
      </w:r>
      <w:r>
        <w:rPr>
          <w:rFonts w:ascii="楷体_GB2312" w:eastAsia="楷体_GB2312"/>
          <w:sz w:val="24"/>
          <w:highlight w:val="none"/>
        </w:rPr>
        <w:t>。</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4、乙方不得将供货协议转给他人或由他人承担供货，一经查实有此违规现象取消供货商资格，并承担相应损失。</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5</w:t>
      </w:r>
      <w:r>
        <w:rPr>
          <w:rFonts w:hint="eastAsia" w:ascii="楷体_GB2312" w:eastAsia="楷体_GB2312"/>
          <w:sz w:val="24"/>
          <w:highlight w:val="none"/>
          <w:lang w:eastAsia="zh-CN"/>
        </w:rPr>
        <w:t>、</w:t>
      </w:r>
      <w:r>
        <w:rPr>
          <w:rFonts w:ascii="楷体_GB2312" w:eastAsia="楷体_GB2312"/>
          <w:sz w:val="24"/>
          <w:highlight w:val="none"/>
        </w:rPr>
        <w:t>乙方凡有短斤缺两、擅自涨价、质量问题</w:t>
      </w:r>
      <w:r>
        <w:rPr>
          <w:rFonts w:hint="eastAsia" w:ascii="楷体_GB2312" w:eastAsia="楷体_GB2312"/>
          <w:sz w:val="24"/>
          <w:highlight w:val="none"/>
          <w:lang w:eastAsia="zh-CN"/>
        </w:rPr>
        <w:t>（未产生不良后果的）</w:t>
      </w:r>
      <w:r>
        <w:rPr>
          <w:rFonts w:ascii="楷体_GB2312" w:eastAsia="楷体_GB2312"/>
          <w:sz w:val="24"/>
          <w:highlight w:val="none"/>
        </w:rPr>
        <w:t>以及其它违规行为均记入诚信档案，作为影响以后招投标的重要因素。情节较为严重的</w:t>
      </w:r>
      <w:r>
        <w:rPr>
          <w:rFonts w:hint="eastAsia" w:ascii="楷体_GB2312" w:eastAsia="楷体_GB2312"/>
          <w:sz w:val="24"/>
          <w:highlight w:val="none"/>
          <w:lang w:eastAsia="zh-CN"/>
        </w:rPr>
        <w:t>或出现二次同类违规行为的</w:t>
      </w:r>
      <w:r>
        <w:rPr>
          <w:rFonts w:ascii="楷体_GB2312" w:eastAsia="楷体_GB2312"/>
          <w:sz w:val="24"/>
          <w:highlight w:val="none"/>
        </w:rPr>
        <w:t>，甲方有权中止供货协议，并按相关法律处理。</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6</w:t>
      </w:r>
      <w:r>
        <w:rPr>
          <w:rFonts w:hint="eastAsia" w:ascii="楷体_GB2312" w:eastAsia="楷体_GB2312"/>
          <w:sz w:val="24"/>
          <w:highlight w:val="none"/>
          <w:lang w:eastAsia="zh-CN"/>
        </w:rPr>
        <w:t>、</w:t>
      </w:r>
      <w:r>
        <w:rPr>
          <w:rFonts w:ascii="楷体_GB2312" w:eastAsia="楷体_GB2312"/>
          <w:sz w:val="24"/>
          <w:highlight w:val="none"/>
        </w:rPr>
        <w:t>因所供应食材的</w:t>
      </w:r>
      <w:r>
        <w:rPr>
          <w:rFonts w:hint="eastAsia" w:ascii="楷体_GB2312" w:eastAsia="楷体_GB2312"/>
          <w:sz w:val="24"/>
          <w:highlight w:val="none"/>
          <w:lang w:val="en-US" w:eastAsia="zh-CN"/>
        </w:rPr>
        <w:t>包装</w:t>
      </w:r>
      <w:r>
        <w:rPr>
          <w:rFonts w:ascii="楷体_GB2312" w:eastAsia="楷体_GB2312"/>
          <w:sz w:val="24"/>
          <w:highlight w:val="none"/>
        </w:rPr>
        <w:t>质量问题引起食物中毒等食源性疾病的发生或引起其他事故由供货方负全部责任，承担由此而引起的全部经济损失及相关法律责任，并终止与乙方签署的协议。</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sz w:val="24"/>
          <w:highlight w:val="none"/>
        </w:rPr>
      </w:pPr>
      <w:r>
        <w:rPr>
          <w:rFonts w:ascii="黑体" w:hAnsi="黑体" w:eastAsia="黑体"/>
          <w:sz w:val="24"/>
          <w:highlight w:val="none"/>
        </w:rPr>
        <w:t>九、终止协议</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（一）</w:t>
      </w:r>
      <w:r>
        <w:rPr>
          <w:rFonts w:ascii="楷体_GB2312" w:eastAsia="楷体_GB2312"/>
          <w:sz w:val="24"/>
          <w:highlight w:val="none"/>
        </w:rPr>
        <w:t>如乙方在本合同履行完毕之前破产或无清偿能力，甲方可在任何时候以书面形式通知乙方，提出终止合同而不给乙方补偿。</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eastAsia="zh-CN"/>
        </w:rPr>
        <w:t>（二）</w:t>
      </w:r>
      <w:r>
        <w:rPr>
          <w:rFonts w:ascii="楷体_GB2312" w:eastAsia="楷体_GB2312"/>
          <w:sz w:val="24"/>
          <w:highlight w:val="none"/>
        </w:rPr>
        <w:t>有下列情形之一的立即中止乙方送货并废除与之签订的协议：</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1、因配送的食品质量问题引发食品安全事故的。</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2</w:t>
      </w:r>
      <w:r>
        <w:rPr>
          <w:rFonts w:ascii="楷体_GB2312" w:eastAsia="楷体_GB2312"/>
          <w:sz w:val="24"/>
          <w:highlight w:val="none"/>
        </w:rPr>
        <w:t>、被政府监管部门查到有销售假冒伪劣产品的。</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楷体_GB2312" w:eastAsia="楷体_GB2312"/>
          <w:sz w:val="24"/>
          <w:highlight w:val="none"/>
        </w:rPr>
      </w:pPr>
      <w:r>
        <w:rPr>
          <w:rFonts w:hint="eastAsia" w:ascii="楷体_GB2312" w:eastAsia="楷体_GB2312"/>
          <w:sz w:val="24"/>
          <w:highlight w:val="none"/>
          <w:lang w:val="en-US" w:eastAsia="zh-CN"/>
        </w:rPr>
        <w:t>3</w:t>
      </w:r>
      <w:r>
        <w:rPr>
          <w:rFonts w:ascii="楷体_GB2312" w:eastAsia="楷体_GB2312"/>
          <w:sz w:val="24"/>
          <w:highlight w:val="none"/>
        </w:rPr>
        <w:t>、因存在不廉洁行为和安全隐患等造成不良社会影响的。</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eastAsia="楷体_GB2312"/>
          <w:bCs/>
          <w:sz w:val="24"/>
          <w:highlight w:val="none"/>
        </w:rPr>
      </w:pPr>
      <w:r>
        <w:rPr>
          <w:rFonts w:hint="eastAsia" w:eastAsia="楷体_GB2312"/>
          <w:bCs/>
          <w:sz w:val="24"/>
          <w:highlight w:val="none"/>
          <w:lang w:val="en-US" w:eastAsia="zh-CN"/>
        </w:rPr>
        <w:t>4</w:t>
      </w:r>
      <w:r>
        <w:rPr>
          <w:rFonts w:hint="eastAsia" w:eastAsia="楷体_GB2312"/>
          <w:bCs/>
          <w:sz w:val="24"/>
          <w:highlight w:val="none"/>
        </w:rPr>
        <w:t>、在配送工作中弄虚作假，提供伪造检测资料和索证资料的。</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hint="default" w:eastAsia="楷体_GB2312"/>
          <w:bCs/>
          <w:sz w:val="24"/>
          <w:highlight w:val="none"/>
          <w:lang w:val="en-US" w:eastAsia="zh-CN"/>
        </w:rPr>
      </w:pPr>
      <w:r>
        <w:rPr>
          <w:rFonts w:hint="eastAsia" w:eastAsia="楷体_GB2312"/>
          <w:bCs/>
          <w:sz w:val="24"/>
          <w:highlight w:val="none"/>
          <w:lang w:val="en-US" w:eastAsia="zh-CN"/>
        </w:rPr>
        <w:t>5、被航空公司月投诉超过3次，年投诉超过6次的。</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sz w:val="24"/>
          <w:highlight w:val="none"/>
        </w:rPr>
      </w:pPr>
      <w:r>
        <w:rPr>
          <w:rFonts w:ascii="黑体" w:hAnsi="黑体" w:eastAsia="黑体"/>
          <w:sz w:val="24"/>
          <w:highlight w:val="none"/>
        </w:rPr>
        <w:t>十、其他约定</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color w:val="FF0000"/>
          <w:sz w:val="24"/>
          <w:highlight w:val="none"/>
        </w:rPr>
      </w:pPr>
      <w:r>
        <w:rPr>
          <w:rFonts w:hint="eastAsia" w:ascii="楷体_GB2312" w:eastAsia="楷体_GB2312"/>
          <w:sz w:val="24"/>
          <w:highlight w:val="none"/>
          <w:lang w:val="en-US" w:eastAsia="zh-CN"/>
        </w:rPr>
        <w:t>1</w:t>
      </w:r>
      <w:r>
        <w:rPr>
          <w:rFonts w:hint="eastAsia" w:ascii="楷体_GB2312" w:eastAsia="楷体_GB2312"/>
          <w:sz w:val="24"/>
          <w:highlight w:val="none"/>
          <w:lang w:eastAsia="zh-CN"/>
        </w:rPr>
        <w:t>、</w:t>
      </w:r>
      <w:r>
        <w:rPr>
          <w:rFonts w:ascii="楷体_GB2312" w:eastAsia="楷体_GB2312"/>
          <w:sz w:val="24"/>
          <w:highlight w:val="none"/>
        </w:rPr>
        <w:t>乙方向甲方提供食材的品牌、规格、价格必须与</w:t>
      </w:r>
      <w:r>
        <w:rPr>
          <w:rFonts w:hint="eastAsia" w:ascii="楷体_GB2312" w:eastAsia="楷体_GB2312"/>
          <w:sz w:val="24"/>
          <w:highlight w:val="none"/>
          <w:lang w:eastAsia="zh-CN"/>
        </w:rPr>
        <w:t>投标的价格</w:t>
      </w:r>
      <w:r>
        <w:rPr>
          <w:rFonts w:ascii="楷体_GB2312" w:eastAsia="楷体_GB2312"/>
          <w:sz w:val="24"/>
          <w:highlight w:val="none"/>
        </w:rPr>
        <w:t>的相同，严禁擅自更换食材品牌、规格。</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ascii="楷体_GB2312" w:eastAsia="楷体_GB2312"/>
          <w:sz w:val="24"/>
          <w:highlight w:val="none"/>
        </w:rPr>
        <w:t>2、乙方可就</w:t>
      </w:r>
      <w:r>
        <w:rPr>
          <w:rFonts w:hint="eastAsia" w:ascii="楷体_GB2312" w:eastAsia="楷体_GB2312"/>
          <w:sz w:val="24"/>
          <w:highlight w:val="none"/>
          <w:lang w:eastAsia="zh-CN"/>
        </w:rPr>
        <w:t>使用部门</w:t>
      </w:r>
      <w:r>
        <w:rPr>
          <w:rFonts w:ascii="楷体_GB2312" w:eastAsia="楷体_GB2312"/>
          <w:sz w:val="24"/>
          <w:highlight w:val="none"/>
        </w:rPr>
        <w:t>的违反合同规定或违纪事项向甲方投诉。</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3</w:t>
      </w:r>
      <w:r>
        <w:rPr>
          <w:rFonts w:ascii="楷体_GB2312" w:eastAsia="楷体_GB2312"/>
          <w:sz w:val="24"/>
          <w:highlight w:val="none"/>
        </w:rPr>
        <w:t>、甲方发现乙方给予采购及经办人回扣等违规行为，有权提出取消乙方的资格，并承担相应损失和进行通报批评等处置措施；情节特别严重的，有权提出</w:t>
      </w:r>
      <w:r>
        <w:rPr>
          <w:rFonts w:hint="eastAsia" w:ascii="楷体_GB2312" w:eastAsia="楷体_GB2312"/>
          <w:sz w:val="24"/>
          <w:highlight w:val="none"/>
          <w:lang w:eastAsia="zh-CN"/>
        </w:rPr>
        <w:t>禁止</w:t>
      </w:r>
      <w:r>
        <w:rPr>
          <w:rFonts w:ascii="楷体_GB2312" w:eastAsia="楷体_GB2312"/>
          <w:sz w:val="24"/>
          <w:highlight w:val="none"/>
        </w:rPr>
        <w:t>乙方进入</w:t>
      </w:r>
      <w:r>
        <w:rPr>
          <w:rFonts w:hint="eastAsia" w:ascii="楷体_GB2312" w:eastAsia="楷体_GB2312"/>
          <w:sz w:val="24"/>
          <w:highlight w:val="none"/>
          <w:lang w:eastAsia="zh-CN"/>
        </w:rPr>
        <w:t>甲方</w:t>
      </w:r>
      <w:r>
        <w:rPr>
          <w:rFonts w:ascii="楷体_GB2312" w:eastAsia="楷体_GB2312"/>
          <w:sz w:val="24"/>
          <w:highlight w:val="none"/>
        </w:rPr>
        <w:t>采购市场的处置措施。</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4、</w:t>
      </w:r>
      <w:r>
        <w:rPr>
          <w:rFonts w:ascii="楷体_GB2312" w:eastAsia="楷体_GB2312"/>
          <w:sz w:val="24"/>
          <w:highlight w:val="none"/>
        </w:rPr>
        <w:t>在协议有效期内一方不得擅自变更或中止此项协议，如未经双方同意，擅自变更或中止此项的一方要负违约责任。此项协议需终止或续签，应在协议期内提前</w:t>
      </w:r>
      <w:r>
        <w:rPr>
          <w:rFonts w:hint="eastAsia" w:ascii="楷体_GB2312" w:eastAsia="楷体_GB2312"/>
          <w:sz w:val="24"/>
          <w:highlight w:val="none"/>
          <w:lang w:eastAsia="zh-CN"/>
        </w:rPr>
        <w:t>一</w:t>
      </w:r>
      <w:r>
        <w:rPr>
          <w:rFonts w:ascii="楷体_GB2312" w:eastAsia="楷体_GB2312"/>
          <w:sz w:val="24"/>
          <w:highlight w:val="none"/>
        </w:rPr>
        <w:t>个月通知对方。</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eastAsia="楷体_GB2312"/>
          <w:sz w:val="24"/>
          <w:highlight w:val="none"/>
        </w:rPr>
      </w:pPr>
      <w:r>
        <w:rPr>
          <w:rFonts w:hint="eastAsia" w:ascii="楷体_GB2312" w:eastAsia="楷体_GB2312"/>
          <w:sz w:val="24"/>
          <w:highlight w:val="none"/>
          <w:lang w:val="en-US" w:eastAsia="zh-CN"/>
        </w:rPr>
        <w:t>5、</w:t>
      </w:r>
      <w:r>
        <w:rPr>
          <w:rFonts w:ascii="楷体_GB2312" w:eastAsia="楷体_GB2312"/>
          <w:sz w:val="24"/>
          <w:highlight w:val="none"/>
        </w:rPr>
        <w:t>本合同未尽事宜，在招投标等文件中明确的遵守其约定；尚未有明确的，甲乙双方友好协商解决。</w:t>
      </w:r>
    </w:p>
    <w:p>
      <w:pPr>
        <w:keepNext w:val="0"/>
        <w:keepLines w:val="0"/>
        <w:pageBreakBefore w:val="0"/>
        <w:tabs>
          <w:tab w:val="left" w:pos="210"/>
          <w:tab w:val="left" w:pos="840"/>
          <w:tab w:val="left" w:pos="1155"/>
        </w:tabs>
        <w:kinsoku/>
        <w:wordWrap/>
        <w:overflowPunct/>
        <w:topLinePunct w:val="0"/>
        <w:autoSpaceDE/>
        <w:autoSpaceDN/>
        <w:bidi w:val="0"/>
        <w:snapToGrid/>
        <w:spacing w:line="400" w:lineRule="exact"/>
        <w:ind w:left="0" w:leftChars="0" w:right="0" w:rightChars="0" w:firstLine="480" w:firstLineChars="200"/>
        <w:textAlignment w:val="auto"/>
        <w:outlineLvl w:val="9"/>
        <w:rPr>
          <w:rFonts w:ascii="黑体" w:hAnsi="黑体" w:eastAsia="黑体"/>
          <w:bCs/>
          <w:sz w:val="24"/>
          <w:highlight w:val="none"/>
        </w:rPr>
      </w:pPr>
      <w:r>
        <w:rPr>
          <w:rFonts w:hint="eastAsia" w:ascii="黑体" w:hAnsi="黑体" w:eastAsia="黑体"/>
          <w:bCs/>
          <w:sz w:val="24"/>
          <w:highlight w:val="none"/>
        </w:rPr>
        <w:t>十一、合同不可分割部分</w:t>
      </w:r>
    </w:p>
    <w:p>
      <w:pPr>
        <w:keepNext w:val="0"/>
        <w:keepLines w:val="0"/>
        <w:pageBreakBefore w:val="0"/>
        <w:tabs>
          <w:tab w:val="left" w:pos="210"/>
          <w:tab w:val="left" w:pos="420"/>
          <w:tab w:val="left" w:pos="1155"/>
        </w:tabs>
        <w:kinsoku/>
        <w:wordWrap/>
        <w:overflowPunct/>
        <w:topLinePunct w:val="0"/>
        <w:autoSpaceDE/>
        <w:autoSpaceDN/>
        <w:bidi w:val="0"/>
        <w:snapToGrid/>
        <w:spacing w:line="400" w:lineRule="exact"/>
        <w:ind w:left="0" w:leftChars="0" w:right="0" w:rightChars="0" w:firstLine="480" w:firstLineChars="200"/>
        <w:textAlignment w:val="auto"/>
        <w:outlineLvl w:val="9"/>
        <w:rPr>
          <w:rFonts w:ascii="楷体_GB2312" w:hAnsi="宋体" w:eastAsia="楷体_GB2312"/>
          <w:bCs/>
          <w:sz w:val="24"/>
          <w:highlight w:val="none"/>
        </w:rPr>
      </w:pPr>
      <w:r>
        <w:rPr>
          <w:rFonts w:hint="eastAsia" w:ascii="楷体_GB2312" w:hAnsi="宋体" w:eastAsia="楷体_GB2312"/>
          <w:bCs/>
          <w:sz w:val="24"/>
          <w:highlight w:val="none"/>
        </w:rPr>
        <w:t>招标文件、投标文件、合同条款及中标通知书，</w:t>
      </w:r>
      <w:r>
        <w:rPr>
          <w:rFonts w:hint="eastAsia" w:ascii="楷体_GB2312" w:hAnsi="宋体" w:eastAsia="楷体_GB2312"/>
          <w:bCs/>
          <w:sz w:val="24"/>
          <w:highlight w:val="none"/>
          <w:lang w:eastAsia="zh-CN"/>
        </w:rPr>
        <w:t>成交人</w:t>
      </w:r>
      <w:r>
        <w:rPr>
          <w:rFonts w:hint="eastAsia" w:ascii="楷体_GB2312" w:hAnsi="宋体" w:eastAsia="楷体_GB2312"/>
          <w:bCs/>
          <w:sz w:val="24"/>
          <w:highlight w:val="none"/>
        </w:rPr>
        <w:t>在投标、评标过程中所作其它有关承诺、声明、书面澄清等均为合同不可分割的部分，与主合同具有同等法律效力。</w:t>
      </w:r>
    </w:p>
    <w:p>
      <w:pPr>
        <w:keepNext w:val="0"/>
        <w:keepLines w:val="0"/>
        <w:pageBreakBefore w:val="0"/>
        <w:tabs>
          <w:tab w:val="left" w:pos="210"/>
          <w:tab w:val="left" w:pos="840"/>
          <w:tab w:val="left" w:pos="1155"/>
        </w:tabs>
        <w:kinsoku/>
        <w:wordWrap/>
        <w:overflowPunct/>
        <w:topLinePunct w:val="0"/>
        <w:autoSpaceDE/>
        <w:autoSpaceDN/>
        <w:bidi w:val="0"/>
        <w:snapToGrid/>
        <w:spacing w:line="400" w:lineRule="exact"/>
        <w:ind w:left="0" w:leftChars="0" w:right="0" w:rightChars="0" w:firstLine="480" w:firstLineChars="200"/>
        <w:textAlignment w:val="auto"/>
        <w:outlineLvl w:val="9"/>
        <w:rPr>
          <w:rFonts w:hint="eastAsia" w:ascii="黑体" w:hAnsi="黑体" w:eastAsia="黑体" w:cs="宋体"/>
          <w:bCs/>
          <w:kern w:val="0"/>
          <w:sz w:val="24"/>
          <w:highlight w:val="none"/>
        </w:rPr>
      </w:pPr>
      <w:r>
        <w:rPr>
          <w:rFonts w:hint="eastAsia" w:ascii="黑体" w:hAnsi="黑体" w:eastAsia="黑体"/>
          <w:bCs/>
          <w:sz w:val="24"/>
          <w:highlight w:val="none"/>
        </w:rPr>
        <w:t>十二、</w:t>
      </w:r>
      <w:r>
        <w:rPr>
          <w:rFonts w:hint="eastAsia" w:ascii="黑体" w:hAnsi="黑体" w:eastAsia="黑体" w:cs="宋体"/>
          <w:bCs/>
          <w:kern w:val="0"/>
          <w:sz w:val="24"/>
          <w:highlight w:val="none"/>
          <w:lang w:val="zh-CN"/>
        </w:rPr>
        <w:t>合同生效及其他</w:t>
      </w:r>
    </w:p>
    <w:p>
      <w:pPr>
        <w:keepNext w:val="0"/>
        <w:keepLines w:val="0"/>
        <w:pageBreakBefore w:val="0"/>
        <w:widowControl/>
        <w:kinsoku/>
        <w:wordWrap/>
        <w:overflowPunct/>
        <w:topLinePunct w:val="0"/>
        <w:autoSpaceDE/>
        <w:autoSpaceDN/>
        <w:bidi w:val="0"/>
        <w:adjustRightInd w:val="0"/>
        <w:snapToGrid/>
        <w:spacing w:line="400" w:lineRule="exact"/>
        <w:ind w:left="0" w:leftChars="0" w:right="0" w:rightChars="0" w:firstLine="480" w:firstLineChars="200"/>
        <w:jc w:val="left"/>
        <w:textAlignment w:val="auto"/>
        <w:outlineLvl w:val="9"/>
        <w:rPr>
          <w:rFonts w:hint="eastAsia" w:ascii="楷体_GB2312" w:hAnsi="宋体" w:eastAsia="楷体_GB2312" w:cs="宋体"/>
          <w:kern w:val="0"/>
          <w:sz w:val="24"/>
          <w:highlight w:val="none"/>
        </w:rPr>
      </w:pPr>
      <w:r>
        <w:rPr>
          <w:rFonts w:hint="eastAsia" w:ascii="楷体_GB2312" w:hAnsi="宋体" w:eastAsia="楷体_GB2312" w:cs="宋体"/>
          <w:kern w:val="0"/>
          <w:sz w:val="24"/>
          <w:highlight w:val="none"/>
          <w:lang w:val="zh-CN"/>
        </w:rPr>
        <w:t>1、</w:t>
      </w:r>
      <w:r>
        <w:rPr>
          <w:rFonts w:hint="eastAsia" w:ascii="楷体_GB2312" w:hAnsi="宋体" w:eastAsia="楷体_GB2312" w:cs="宋体"/>
          <w:kern w:val="0"/>
          <w:sz w:val="24"/>
          <w:highlight w:val="none"/>
        </w:rPr>
        <w:t>本合同由甲</w:t>
      </w:r>
      <w:r>
        <w:rPr>
          <w:rFonts w:hint="eastAsia" w:ascii="楷体_GB2312" w:hAnsi="宋体" w:eastAsia="楷体_GB2312" w:cs="宋体"/>
          <w:kern w:val="0"/>
          <w:sz w:val="24"/>
          <w:highlight w:val="none"/>
          <w:lang w:eastAsia="zh-CN"/>
        </w:rPr>
        <w:t>、</w:t>
      </w:r>
      <w:r>
        <w:rPr>
          <w:rFonts w:hint="eastAsia" w:ascii="楷体_GB2312" w:hAnsi="宋体" w:eastAsia="楷体_GB2312" w:cs="宋体"/>
          <w:kern w:val="0"/>
          <w:sz w:val="24"/>
          <w:highlight w:val="none"/>
        </w:rPr>
        <w:t>乙双方签字、盖章后生效。</w:t>
      </w:r>
    </w:p>
    <w:p>
      <w:pPr>
        <w:keepNext w:val="0"/>
        <w:keepLines w:val="0"/>
        <w:pageBreakBefore w:val="0"/>
        <w:widowControl/>
        <w:kinsoku/>
        <w:wordWrap/>
        <w:overflowPunct/>
        <w:topLinePunct w:val="0"/>
        <w:autoSpaceDE/>
        <w:autoSpaceDN/>
        <w:bidi w:val="0"/>
        <w:adjustRightInd w:val="0"/>
        <w:snapToGrid/>
        <w:spacing w:line="400" w:lineRule="exact"/>
        <w:ind w:left="0" w:leftChars="0" w:right="0" w:rightChars="0" w:firstLine="480" w:firstLineChars="200"/>
        <w:jc w:val="left"/>
        <w:textAlignment w:val="auto"/>
        <w:outlineLvl w:val="9"/>
        <w:rPr>
          <w:rFonts w:hint="eastAsia" w:ascii="楷体_GB2312" w:hAnsi="宋体" w:eastAsia="楷体_GB2312" w:cs="宋体"/>
          <w:kern w:val="0"/>
          <w:sz w:val="24"/>
          <w:highlight w:val="none"/>
          <w:lang w:val="zh-CN"/>
        </w:rPr>
      </w:pPr>
      <w:r>
        <w:rPr>
          <w:rFonts w:hint="eastAsia" w:ascii="楷体_GB2312" w:hAnsi="宋体" w:eastAsia="楷体_GB2312" w:cs="宋体"/>
          <w:kern w:val="0"/>
          <w:sz w:val="24"/>
          <w:highlight w:val="none"/>
          <w:lang w:val="zh-CN"/>
        </w:rPr>
        <w:t>2、本合同一式四份，甲方三份、乙方一份。</w:t>
      </w:r>
    </w:p>
    <w:p>
      <w:pPr>
        <w:keepNext w:val="0"/>
        <w:keepLines w:val="0"/>
        <w:pageBreakBefore w:val="0"/>
        <w:widowControl/>
        <w:kinsoku/>
        <w:wordWrap/>
        <w:overflowPunct/>
        <w:topLinePunct w:val="0"/>
        <w:autoSpaceDE/>
        <w:autoSpaceDN/>
        <w:bidi w:val="0"/>
        <w:adjustRightInd w:val="0"/>
        <w:snapToGrid/>
        <w:spacing w:line="400" w:lineRule="exact"/>
        <w:ind w:left="0" w:leftChars="0" w:right="0" w:rightChars="0" w:firstLine="480" w:firstLineChars="200"/>
        <w:jc w:val="left"/>
        <w:textAlignment w:val="auto"/>
        <w:outlineLvl w:val="9"/>
        <w:rPr>
          <w:rFonts w:hint="eastAsia" w:ascii="楷体_GB2312" w:hAnsi="宋体" w:eastAsia="楷体_GB2312" w:cs="宋体"/>
          <w:kern w:val="0"/>
          <w:sz w:val="24"/>
          <w:highlight w:val="none"/>
          <w:lang w:val="zh-CN"/>
        </w:rPr>
      </w:pPr>
      <w:r>
        <w:rPr>
          <w:rFonts w:hint="eastAsia" w:ascii="楷体_GB2312" w:hAnsi="宋体" w:eastAsia="楷体_GB2312" w:cs="宋体"/>
          <w:kern w:val="0"/>
          <w:sz w:val="24"/>
          <w:highlight w:val="none"/>
          <w:lang w:val="zh-CN"/>
        </w:rPr>
        <w:t>3、本合同应按照中华人民共和国的现行法律进行解释。</w:t>
      </w:r>
    </w:p>
    <w:p>
      <w:pPr>
        <w:keepNext w:val="0"/>
        <w:keepLines w:val="0"/>
        <w:pageBreakBefore w:val="0"/>
        <w:widowControl/>
        <w:kinsoku/>
        <w:wordWrap/>
        <w:overflowPunct/>
        <w:topLinePunct w:val="0"/>
        <w:autoSpaceDE/>
        <w:autoSpaceDN/>
        <w:bidi w:val="0"/>
        <w:adjustRightInd w:val="0"/>
        <w:snapToGrid/>
        <w:spacing w:line="400" w:lineRule="exact"/>
        <w:ind w:left="0" w:leftChars="0" w:right="0" w:rightChars="0" w:firstLine="480" w:firstLineChars="200"/>
        <w:jc w:val="left"/>
        <w:textAlignment w:val="auto"/>
        <w:outlineLvl w:val="9"/>
        <w:rPr>
          <w:rFonts w:hint="eastAsia" w:ascii="楷体_GB2312" w:hAnsi="宋体" w:eastAsia="楷体_GB2312" w:cs="宋体"/>
          <w:kern w:val="0"/>
          <w:sz w:val="24"/>
          <w:highlight w:val="none"/>
          <w:lang w:val="zh-CN"/>
        </w:rPr>
      </w:pPr>
      <w:r>
        <w:rPr>
          <w:rFonts w:hint="eastAsia" w:ascii="楷体_GB2312" w:hAnsi="宋体" w:eastAsia="楷体_GB2312" w:cs="宋体"/>
          <w:kern w:val="0"/>
          <w:sz w:val="24"/>
          <w:highlight w:val="none"/>
          <w:lang w:val="zh-CN"/>
        </w:rPr>
        <w:t>（以下无正文，为签字页）</w:t>
      </w:r>
    </w:p>
    <w:tbl>
      <w:tblPr>
        <w:tblStyle w:val="9"/>
        <w:tblpPr w:leftFromText="180" w:rightFromText="180" w:vertAnchor="text" w:horzAnchor="page" w:tblpX="1270" w:tblpY="598"/>
        <w:tblOverlap w:val="never"/>
        <w:tblW w:w="0" w:type="auto"/>
        <w:tblInd w:w="0" w:type="dxa"/>
        <w:tblLayout w:type="fixed"/>
        <w:tblCellMar>
          <w:top w:w="0" w:type="dxa"/>
          <w:left w:w="108" w:type="dxa"/>
          <w:bottom w:w="0" w:type="dxa"/>
          <w:right w:w="108" w:type="dxa"/>
        </w:tblCellMar>
      </w:tblPr>
      <w:tblGrid>
        <w:gridCol w:w="9480"/>
      </w:tblGrid>
      <w:tr>
        <w:tblPrEx>
          <w:tblCellMar>
            <w:top w:w="0" w:type="dxa"/>
            <w:left w:w="108" w:type="dxa"/>
            <w:bottom w:w="0" w:type="dxa"/>
            <w:right w:w="108" w:type="dxa"/>
          </w:tblCellMar>
        </w:tblPrEx>
        <w:trPr>
          <w:trHeight w:val="519" w:hRule="atLeast"/>
        </w:trPr>
        <w:tc>
          <w:tcPr>
            <w:tcW w:w="9480" w:type="dxa"/>
            <w:noWrap w:val="0"/>
            <w:vAlign w:val="top"/>
          </w:tcPr>
          <w:p>
            <w:pPr>
              <w:spacing w:line="400" w:lineRule="exact"/>
              <w:rPr>
                <w:rFonts w:hint="eastAsia" w:ascii="楷体_GB2312" w:eastAsia="楷体_GB2312"/>
                <w:bCs/>
                <w:sz w:val="24"/>
                <w:highlight w:val="none"/>
                <w:u w:val="single"/>
              </w:rPr>
            </w:pPr>
            <w:r>
              <w:rPr>
                <w:rFonts w:hint="eastAsia" w:ascii="楷体_GB2312" w:eastAsia="楷体_GB2312"/>
                <w:bCs/>
                <w:sz w:val="24"/>
                <w:highlight w:val="none"/>
              </w:rPr>
              <w:t>甲方（采购人）：</w:t>
            </w:r>
            <w:r>
              <w:rPr>
                <w:rFonts w:hint="eastAsia" w:ascii="楷体_GB2312" w:eastAsia="楷体_GB2312"/>
                <w:bCs/>
                <w:sz w:val="24"/>
                <w:highlight w:val="none"/>
                <w:u w:val="single"/>
              </w:rPr>
              <w:t xml:space="preserve"> </w:t>
            </w:r>
            <w:r>
              <w:rPr>
                <w:rFonts w:hint="eastAsia" w:ascii="楷体_GB2312" w:eastAsia="楷体_GB2312"/>
                <w:bCs/>
                <w:sz w:val="24"/>
                <w:highlight w:val="none"/>
                <w:u w:val="single"/>
                <w:lang w:eastAsia="zh-CN"/>
              </w:rPr>
              <w:t>南通机场集团有限公司</w:t>
            </w:r>
            <w:r>
              <w:rPr>
                <w:rFonts w:hint="eastAsia" w:ascii="楷体_GB2312" w:eastAsia="楷体_GB2312"/>
                <w:bCs/>
                <w:sz w:val="24"/>
                <w:highlight w:val="none"/>
                <w:u w:val="single"/>
              </w:rPr>
              <w:t xml:space="preserve"> </w:t>
            </w:r>
            <w:r>
              <w:rPr>
                <w:rFonts w:hint="eastAsia" w:ascii="楷体_GB2312" w:eastAsia="楷体_GB2312"/>
                <w:bCs/>
                <w:sz w:val="24"/>
                <w:highlight w:val="none"/>
              </w:rPr>
              <w:t>（盖章）</w:t>
            </w:r>
          </w:p>
        </w:tc>
      </w:tr>
      <w:tr>
        <w:tblPrEx>
          <w:tblCellMar>
            <w:top w:w="0" w:type="dxa"/>
            <w:left w:w="108" w:type="dxa"/>
            <w:bottom w:w="0" w:type="dxa"/>
            <w:right w:w="108" w:type="dxa"/>
          </w:tblCellMar>
        </w:tblPrEx>
        <w:trPr>
          <w:trHeight w:val="519" w:hRule="atLeast"/>
        </w:trPr>
        <w:tc>
          <w:tcPr>
            <w:tcW w:w="9480" w:type="dxa"/>
            <w:noWrap w:val="0"/>
            <w:vAlign w:val="top"/>
          </w:tcPr>
          <w:p>
            <w:pPr>
              <w:spacing w:line="400" w:lineRule="exact"/>
              <w:rPr>
                <w:rFonts w:hint="eastAsia" w:ascii="楷体_GB2312" w:eastAsia="楷体_GB2312"/>
                <w:sz w:val="24"/>
                <w:highlight w:val="none"/>
              </w:rPr>
            </w:pPr>
            <w:r>
              <w:rPr>
                <w:rFonts w:hint="eastAsia" w:ascii="楷体_GB2312" w:eastAsia="楷体_GB2312"/>
                <w:bCs/>
                <w:sz w:val="24"/>
                <w:highlight w:val="none"/>
              </w:rPr>
              <w:t>地址：</w:t>
            </w:r>
            <w:r>
              <w:rPr>
                <w:rFonts w:hint="eastAsia" w:ascii="楷体_GB2312" w:eastAsia="楷体_GB2312"/>
                <w:bCs/>
                <w:sz w:val="24"/>
                <w:highlight w:val="none"/>
                <w:u w:val="single"/>
              </w:rPr>
              <w:t xml:space="preserve"> </w:t>
            </w:r>
            <w:r>
              <w:rPr>
                <w:rFonts w:hint="eastAsia" w:ascii="楷体_GB2312" w:eastAsia="楷体_GB2312"/>
                <w:bCs/>
                <w:sz w:val="24"/>
                <w:highlight w:val="none"/>
                <w:u w:val="single"/>
                <w:lang w:eastAsia="zh-CN"/>
              </w:rPr>
              <w:t>南通市通州区兴东镇兴东机场</w:t>
            </w:r>
            <w:r>
              <w:rPr>
                <w:rFonts w:hint="eastAsia" w:ascii="楷体_GB2312" w:eastAsia="楷体_GB2312"/>
                <w:bCs/>
                <w:sz w:val="24"/>
                <w:highlight w:val="none"/>
                <w:u w:val="single"/>
              </w:rPr>
              <w:t xml:space="preserve">  </w:t>
            </w:r>
          </w:p>
        </w:tc>
      </w:tr>
      <w:tr>
        <w:tblPrEx>
          <w:tblCellMar>
            <w:top w:w="0" w:type="dxa"/>
            <w:left w:w="108" w:type="dxa"/>
            <w:bottom w:w="0" w:type="dxa"/>
            <w:right w:w="108" w:type="dxa"/>
          </w:tblCellMar>
        </w:tblPrEx>
        <w:trPr>
          <w:trHeight w:val="519" w:hRule="atLeast"/>
        </w:trPr>
        <w:tc>
          <w:tcPr>
            <w:tcW w:w="9480" w:type="dxa"/>
            <w:noWrap w:val="0"/>
            <w:vAlign w:val="top"/>
          </w:tcPr>
          <w:p>
            <w:pPr>
              <w:spacing w:line="400" w:lineRule="exact"/>
              <w:rPr>
                <w:rFonts w:hint="eastAsia" w:ascii="楷体_GB2312" w:eastAsia="楷体_GB2312"/>
                <w:sz w:val="24"/>
                <w:highlight w:val="none"/>
              </w:rPr>
            </w:pPr>
            <w:r>
              <w:rPr>
                <w:rFonts w:hint="eastAsia" w:ascii="楷体_GB2312" w:eastAsia="楷体_GB2312"/>
                <w:bCs/>
                <w:sz w:val="24"/>
                <w:highlight w:val="none"/>
              </w:rPr>
              <w:t>法定（授权）代表人：</w:t>
            </w:r>
            <w:r>
              <w:rPr>
                <w:rFonts w:hint="eastAsia" w:ascii="楷体_GB2312" w:eastAsia="楷体_GB2312"/>
                <w:bCs/>
                <w:sz w:val="24"/>
                <w:highlight w:val="none"/>
                <w:u w:val="single"/>
              </w:rPr>
              <w:t xml:space="preserve">                </w:t>
            </w:r>
          </w:p>
        </w:tc>
      </w:tr>
      <w:tr>
        <w:tblPrEx>
          <w:tblCellMar>
            <w:top w:w="0" w:type="dxa"/>
            <w:left w:w="108" w:type="dxa"/>
            <w:bottom w:w="0" w:type="dxa"/>
            <w:right w:w="108" w:type="dxa"/>
          </w:tblCellMar>
        </w:tblPrEx>
        <w:trPr>
          <w:trHeight w:val="519" w:hRule="atLeast"/>
        </w:trPr>
        <w:tc>
          <w:tcPr>
            <w:tcW w:w="9480" w:type="dxa"/>
            <w:noWrap w:val="0"/>
            <w:vAlign w:val="top"/>
          </w:tcPr>
          <w:p>
            <w:pPr>
              <w:spacing w:line="400" w:lineRule="exact"/>
              <w:jc w:val="right"/>
              <w:rPr>
                <w:rFonts w:hint="eastAsia" w:ascii="楷体_GB2312" w:eastAsia="楷体_GB2312"/>
                <w:sz w:val="24"/>
                <w:highlight w:val="none"/>
              </w:rPr>
            </w:pPr>
            <w:r>
              <w:rPr>
                <w:rFonts w:hint="eastAsia" w:ascii="楷体_GB2312" w:eastAsia="楷体_GB2312"/>
                <w:bCs/>
                <w:sz w:val="24"/>
                <w:highlight w:val="none"/>
                <w:u w:val="single"/>
              </w:rPr>
              <w:t>　　　　　</w:t>
            </w:r>
            <w:r>
              <w:rPr>
                <w:rFonts w:hint="eastAsia" w:ascii="楷体_GB2312" w:eastAsia="楷体_GB2312"/>
                <w:bCs/>
                <w:sz w:val="24"/>
                <w:highlight w:val="none"/>
              </w:rPr>
              <w:t>年</w:t>
            </w:r>
            <w:r>
              <w:rPr>
                <w:rFonts w:hint="eastAsia" w:ascii="楷体_GB2312" w:eastAsia="楷体_GB2312"/>
                <w:bCs/>
                <w:sz w:val="24"/>
                <w:highlight w:val="none"/>
                <w:u w:val="single"/>
              </w:rPr>
              <w:t>　　　</w:t>
            </w:r>
            <w:r>
              <w:rPr>
                <w:rFonts w:hint="eastAsia" w:ascii="楷体_GB2312" w:eastAsia="楷体_GB2312"/>
                <w:bCs/>
                <w:sz w:val="24"/>
                <w:highlight w:val="none"/>
              </w:rPr>
              <w:t>月</w:t>
            </w:r>
            <w:r>
              <w:rPr>
                <w:rFonts w:hint="eastAsia" w:ascii="楷体_GB2312" w:eastAsia="楷体_GB2312"/>
                <w:bCs/>
                <w:sz w:val="24"/>
                <w:highlight w:val="none"/>
                <w:u w:val="single"/>
              </w:rPr>
              <w:t>　　　</w:t>
            </w:r>
            <w:r>
              <w:rPr>
                <w:rFonts w:hint="eastAsia" w:ascii="楷体_GB2312" w:eastAsia="楷体_GB2312"/>
                <w:bCs/>
                <w:sz w:val="24"/>
                <w:highlight w:val="none"/>
              </w:rPr>
              <w:t>日</w:t>
            </w:r>
          </w:p>
        </w:tc>
      </w:tr>
      <w:tr>
        <w:tblPrEx>
          <w:tblCellMar>
            <w:top w:w="0" w:type="dxa"/>
            <w:left w:w="108" w:type="dxa"/>
            <w:bottom w:w="0" w:type="dxa"/>
            <w:right w:w="108" w:type="dxa"/>
          </w:tblCellMar>
        </w:tblPrEx>
        <w:trPr>
          <w:trHeight w:val="519" w:hRule="atLeast"/>
        </w:trPr>
        <w:tc>
          <w:tcPr>
            <w:tcW w:w="9480" w:type="dxa"/>
            <w:noWrap w:val="0"/>
            <w:vAlign w:val="top"/>
          </w:tcPr>
          <w:p>
            <w:pPr>
              <w:spacing w:line="400" w:lineRule="exact"/>
              <w:rPr>
                <w:rFonts w:hint="eastAsia" w:ascii="楷体_GB2312" w:eastAsia="楷体_GB2312"/>
                <w:sz w:val="24"/>
                <w:highlight w:val="none"/>
              </w:rPr>
            </w:pPr>
            <w:r>
              <w:rPr>
                <w:rFonts w:hint="eastAsia" w:ascii="楷体_GB2312" w:eastAsia="楷体_GB2312"/>
                <w:bCs/>
                <w:sz w:val="24"/>
                <w:highlight w:val="none"/>
              </w:rPr>
              <w:t>乙方（供应商）：</w:t>
            </w:r>
            <w:r>
              <w:rPr>
                <w:rFonts w:hint="eastAsia" w:ascii="楷体_GB2312" w:eastAsia="楷体_GB2312"/>
                <w:sz w:val="24"/>
                <w:highlight w:val="none"/>
                <w:u w:val="single"/>
                <w:lang w:eastAsia="zh-CN"/>
              </w:rPr>
              <w:t>【</w:t>
            </w:r>
            <w:r>
              <w:rPr>
                <w:rFonts w:hint="eastAsia" w:ascii="楷体_GB2312" w:eastAsia="楷体_GB2312"/>
                <w:sz w:val="24"/>
                <w:highlight w:val="none"/>
                <w:u w:val="single"/>
                <w:lang w:val="en-US" w:eastAsia="zh-CN"/>
              </w:rPr>
              <w:t xml:space="preserve">     </w:t>
            </w:r>
            <w:r>
              <w:rPr>
                <w:rFonts w:hint="eastAsia" w:ascii="楷体_GB2312" w:eastAsia="楷体_GB2312"/>
                <w:sz w:val="24"/>
                <w:highlight w:val="none"/>
                <w:u w:val="single"/>
                <w:lang w:eastAsia="zh-CN"/>
              </w:rPr>
              <w:t>】</w:t>
            </w:r>
            <w:r>
              <w:rPr>
                <w:rFonts w:hint="eastAsia" w:ascii="楷体_GB2312" w:eastAsia="楷体_GB2312"/>
                <w:bCs/>
                <w:sz w:val="24"/>
                <w:highlight w:val="none"/>
                <w:u w:val="single"/>
              </w:rPr>
              <w:t xml:space="preserve"> </w:t>
            </w:r>
            <w:r>
              <w:rPr>
                <w:rFonts w:hint="eastAsia" w:ascii="楷体_GB2312" w:eastAsia="楷体_GB2312"/>
                <w:bCs/>
                <w:sz w:val="24"/>
                <w:highlight w:val="none"/>
              </w:rPr>
              <w:t>（盖章）</w:t>
            </w:r>
          </w:p>
        </w:tc>
      </w:tr>
      <w:tr>
        <w:tblPrEx>
          <w:tblCellMar>
            <w:top w:w="0" w:type="dxa"/>
            <w:left w:w="108" w:type="dxa"/>
            <w:bottom w:w="0" w:type="dxa"/>
            <w:right w:w="108" w:type="dxa"/>
          </w:tblCellMar>
        </w:tblPrEx>
        <w:trPr>
          <w:trHeight w:val="519" w:hRule="atLeast"/>
        </w:trPr>
        <w:tc>
          <w:tcPr>
            <w:tcW w:w="9480" w:type="dxa"/>
            <w:noWrap w:val="0"/>
            <w:vAlign w:val="top"/>
          </w:tcPr>
          <w:p>
            <w:pPr>
              <w:spacing w:line="400" w:lineRule="exact"/>
              <w:rPr>
                <w:rFonts w:hint="eastAsia" w:ascii="楷体_GB2312" w:eastAsia="楷体_GB2312"/>
                <w:bCs/>
                <w:sz w:val="24"/>
                <w:highlight w:val="none"/>
              </w:rPr>
            </w:pPr>
            <w:r>
              <w:rPr>
                <w:rFonts w:hint="eastAsia" w:ascii="楷体_GB2312" w:eastAsia="楷体_GB2312"/>
                <w:bCs/>
                <w:sz w:val="24"/>
                <w:highlight w:val="none"/>
              </w:rPr>
              <w:t>地址：</w:t>
            </w:r>
            <w:r>
              <w:rPr>
                <w:rFonts w:hint="eastAsia" w:ascii="楷体_GB2312" w:eastAsia="楷体_GB2312"/>
                <w:bCs/>
                <w:sz w:val="24"/>
                <w:highlight w:val="none"/>
                <w:u w:val="single"/>
              </w:rPr>
              <w:t xml:space="preserve"> </w:t>
            </w:r>
            <w:r>
              <w:rPr>
                <w:rFonts w:hint="eastAsia" w:ascii="楷体_GB2312" w:eastAsia="楷体_GB2312"/>
                <w:bCs/>
                <w:sz w:val="24"/>
                <w:highlight w:val="none"/>
                <w:u w:val="single"/>
                <w:lang w:val="en-US" w:eastAsia="zh-CN"/>
              </w:rPr>
              <w:t xml:space="preserve">                </w:t>
            </w:r>
            <w:r>
              <w:rPr>
                <w:rFonts w:hint="eastAsia" w:ascii="楷体_GB2312" w:eastAsia="楷体_GB2312"/>
                <w:bCs/>
                <w:sz w:val="24"/>
                <w:highlight w:val="none"/>
                <w:u w:val="single"/>
              </w:rPr>
              <w:t xml:space="preserve"> </w:t>
            </w:r>
          </w:p>
        </w:tc>
      </w:tr>
      <w:tr>
        <w:tblPrEx>
          <w:tblCellMar>
            <w:top w:w="0" w:type="dxa"/>
            <w:left w:w="108" w:type="dxa"/>
            <w:bottom w:w="0" w:type="dxa"/>
            <w:right w:w="108" w:type="dxa"/>
          </w:tblCellMar>
        </w:tblPrEx>
        <w:trPr>
          <w:trHeight w:val="519" w:hRule="atLeast"/>
        </w:trPr>
        <w:tc>
          <w:tcPr>
            <w:tcW w:w="9480" w:type="dxa"/>
            <w:noWrap w:val="0"/>
            <w:vAlign w:val="top"/>
          </w:tcPr>
          <w:p>
            <w:pPr>
              <w:spacing w:line="400" w:lineRule="exact"/>
              <w:rPr>
                <w:rFonts w:hint="eastAsia" w:ascii="楷体_GB2312" w:eastAsia="楷体_GB2312"/>
                <w:sz w:val="24"/>
                <w:highlight w:val="none"/>
              </w:rPr>
            </w:pPr>
            <w:r>
              <w:rPr>
                <w:rFonts w:hint="eastAsia" w:ascii="楷体_GB2312" w:eastAsia="楷体_GB2312"/>
                <w:bCs/>
                <w:sz w:val="24"/>
                <w:highlight w:val="none"/>
              </w:rPr>
              <w:t>法定（授权）代表人：</w:t>
            </w:r>
            <w:r>
              <w:rPr>
                <w:rFonts w:hint="eastAsia" w:ascii="楷体_GB2312" w:eastAsia="楷体_GB2312"/>
                <w:bCs/>
                <w:sz w:val="24"/>
                <w:highlight w:val="none"/>
                <w:u w:val="single"/>
              </w:rPr>
              <w:t xml:space="preserve">                </w:t>
            </w:r>
          </w:p>
        </w:tc>
      </w:tr>
      <w:tr>
        <w:tblPrEx>
          <w:tblCellMar>
            <w:top w:w="0" w:type="dxa"/>
            <w:left w:w="108" w:type="dxa"/>
            <w:bottom w:w="0" w:type="dxa"/>
            <w:right w:w="108" w:type="dxa"/>
          </w:tblCellMar>
        </w:tblPrEx>
        <w:trPr>
          <w:trHeight w:val="519" w:hRule="atLeast"/>
        </w:trPr>
        <w:tc>
          <w:tcPr>
            <w:tcW w:w="9480" w:type="dxa"/>
            <w:noWrap w:val="0"/>
            <w:vAlign w:val="top"/>
          </w:tcPr>
          <w:p>
            <w:pPr>
              <w:spacing w:line="400" w:lineRule="exact"/>
              <w:jc w:val="right"/>
              <w:rPr>
                <w:rFonts w:hint="eastAsia" w:ascii="楷体_GB2312" w:eastAsia="楷体_GB2312"/>
                <w:bCs/>
                <w:sz w:val="24"/>
                <w:highlight w:val="none"/>
              </w:rPr>
            </w:pPr>
            <w:r>
              <w:rPr>
                <w:rFonts w:hint="eastAsia" w:ascii="楷体_GB2312" w:eastAsia="楷体_GB2312"/>
                <w:bCs/>
                <w:sz w:val="24"/>
                <w:highlight w:val="none"/>
                <w:u w:val="single"/>
              </w:rPr>
              <w:t>　　　　　</w:t>
            </w:r>
            <w:r>
              <w:rPr>
                <w:rFonts w:hint="eastAsia" w:ascii="楷体_GB2312" w:eastAsia="楷体_GB2312"/>
                <w:bCs/>
                <w:sz w:val="24"/>
                <w:highlight w:val="none"/>
              </w:rPr>
              <w:t>年</w:t>
            </w:r>
            <w:r>
              <w:rPr>
                <w:rFonts w:hint="eastAsia" w:ascii="楷体_GB2312" w:eastAsia="楷体_GB2312"/>
                <w:bCs/>
                <w:sz w:val="24"/>
                <w:highlight w:val="none"/>
                <w:u w:val="single"/>
              </w:rPr>
              <w:t>　　　</w:t>
            </w:r>
            <w:r>
              <w:rPr>
                <w:rFonts w:hint="eastAsia" w:ascii="楷体_GB2312" w:eastAsia="楷体_GB2312"/>
                <w:bCs/>
                <w:sz w:val="24"/>
                <w:highlight w:val="none"/>
              </w:rPr>
              <w:t>月</w:t>
            </w:r>
            <w:r>
              <w:rPr>
                <w:rFonts w:hint="eastAsia" w:ascii="楷体_GB2312" w:eastAsia="楷体_GB2312"/>
                <w:bCs/>
                <w:sz w:val="24"/>
                <w:highlight w:val="none"/>
                <w:u w:val="single"/>
              </w:rPr>
              <w:t>　　　</w:t>
            </w:r>
            <w:r>
              <w:rPr>
                <w:rFonts w:hint="eastAsia" w:ascii="楷体_GB2312" w:eastAsia="楷体_GB2312"/>
                <w:bCs/>
                <w:sz w:val="24"/>
                <w:highlight w:val="none"/>
              </w:rPr>
              <w:t>日</w:t>
            </w:r>
          </w:p>
        </w:tc>
      </w:tr>
    </w:tbl>
    <w:p>
      <w:pPr>
        <w:rPr>
          <w:highlight w:val="none"/>
        </w:rPr>
      </w:pPr>
    </w:p>
    <w:p>
      <w:pPr>
        <w:rPr>
          <w:highlight w:val="none"/>
        </w:rPr>
      </w:pPr>
    </w:p>
    <w:tbl>
      <w:tblPr>
        <w:tblStyle w:val="9"/>
        <w:tblW w:w="0" w:type="auto"/>
        <w:tblInd w:w="0" w:type="dxa"/>
        <w:tblLayout w:type="fixed"/>
        <w:tblCellMar>
          <w:top w:w="0" w:type="dxa"/>
          <w:left w:w="0" w:type="dxa"/>
          <w:bottom w:w="0" w:type="dxa"/>
          <w:right w:w="0" w:type="dxa"/>
        </w:tblCellMar>
      </w:tblPr>
      <w:tblGrid>
        <w:gridCol w:w="1392"/>
        <w:gridCol w:w="1545"/>
        <w:gridCol w:w="1453"/>
        <w:gridCol w:w="745"/>
        <w:gridCol w:w="1325"/>
        <w:gridCol w:w="745"/>
        <w:gridCol w:w="745"/>
        <w:gridCol w:w="1151"/>
        <w:gridCol w:w="719"/>
      </w:tblGrid>
      <w:tr>
        <w:tblPrEx>
          <w:tblCellMar>
            <w:top w:w="0" w:type="dxa"/>
            <w:left w:w="0" w:type="dxa"/>
            <w:bottom w:w="0" w:type="dxa"/>
            <w:right w:w="0" w:type="dxa"/>
          </w:tblCellMar>
        </w:tblPrEx>
        <w:trPr>
          <w:trHeight w:val="800" w:hRule="atLeast"/>
        </w:trPr>
        <w:tc>
          <w:tcPr>
            <w:tcW w:w="982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附件</w:t>
            </w:r>
          </w:p>
          <w:p>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物资验收交接单</w:t>
            </w:r>
          </w:p>
        </w:tc>
      </w:tr>
      <w:tr>
        <w:tblPrEx>
          <w:tblCellMar>
            <w:top w:w="0" w:type="dxa"/>
            <w:left w:w="0" w:type="dxa"/>
            <w:bottom w:w="0" w:type="dxa"/>
            <w:right w:w="0" w:type="dxa"/>
          </w:tblCellMar>
        </w:tblPrEx>
        <w:trPr>
          <w:trHeight w:val="50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合同编号</w:t>
            </w: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6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w:t>
            </w:r>
          </w:p>
        </w:tc>
        <w:tc>
          <w:tcPr>
            <w:tcW w:w="374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供货负责人</w:t>
            </w: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r>
      <w:tr>
        <w:tblPrEx>
          <w:tblCellMar>
            <w:top w:w="0" w:type="dxa"/>
            <w:left w:w="0" w:type="dxa"/>
            <w:bottom w:w="0" w:type="dxa"/>
            <w:right w:w="0" w:type="dxa"/>
          </w:tblCellMar>
        </w:tblPrEx>
        <w:trPr>
          <w:trHeight w:val="36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74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验收地点</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验收日期</w:t>
            </w: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货物名称</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生产商</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品牌</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数量</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单价（元）</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总金额（元）</w:t>
            </w: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720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验收内容</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供货单位自查</w:t>
            </w: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验收单位结论</w:t>
            </w: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货物品牌</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货物包装</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货物数量</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抽检情况</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945"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验收结论</w:t>
            </w:r>
          </w:p>
        </w:tc>
        <w:tc>
          <w:tcPr>
            <w:tcW w:w="8428"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72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参加验收单位</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供货单位（盖章）</w:t>
            </w: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验收单位（盖章）</w:t>
            </w:r>
          </w:p>
        </w:tc>
      </w:tr>
      <w:tr>
        <w:tblPrEx>
          <w:tblCellMar>
            <w:top w:w="0" w:type="dxa"/>
            <w:left w:w="0" w:type="dxa"/>
            <w:bottom w:w="0" w:type="dxa"/>
            <w:right w:w="0" w:type="dxa"/>
          </w:tblCellMar>
        </w:tblPrEx>
        <w:trPr>
          <w:trHeight w:val="235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供货负责人：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日期：  年  月  日</w:t>
            </w: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验收负责人：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日期：  年  月  日</w:t>
            </w:r>
          </w:p>
        </w:tc>
      </w:tr>
      <w:tr>
        <w:tblPrEx>
          <w:tblCellMar>
            <w:top w:w="0" w:type="dxa"/>
            <w:left w:w="0" w:type="dxa"/>
            <w:bottom w:w="0" w:type="dxa"/>
            <w:right w:w="0" w:type="dxa"/>
          </w:tblCellMar>
        </w:tblPrEx>
        <w:trPr>
          <w:trHeight w:val="270" w:hRule="atLeast"/>
        </w:trPr>
        <w:tc>
          <w:tcPr>
            <w:tcW w:w="982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注：一式四份，双方各二份</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9E59A"/>
    <w:multiLevelType w:val="singleLevel"/>
    <w:tmpl w:val="69F9E5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jU2ZjM1YTYxY2VlNTZkOGMwYTU3NmIzM2Q1MjYifQ=="/>
    <w:docVar w:name="KSO_WPS_MARK_KEY" w:val="97ebf3e4-4fb9-4bcb-95ca-bab53bb78e3c"/>
  </w:docVars>
  <w:rsids>
    <w:rsidRoot w:val="00000000"/>
    <w:rsid w:val="027408D5"/>
    <w:rsid w:val="038E44DF"/>
    <w:rsid w:val="04B213C1"/>
    <w:rsid w:val="08A53712"/>
    <w:rsid w:val="0B9A2BAF"/>
    <w:rsid w:val="0C0A1AE2"/>
    <w:rsid w:val="0C450D6C"/>
    <w:rsid w:val="112453F4"/>
    <w:rsid w:val="115455AE"/>
    <w:rsid w:val="11BF6ECB"/>
    <w:rsid w:val="162E461F"/>
    <w:rsid w:val="16C32E05"/>
    <w:rsid w:val="19151F80"/>
    <w:rsid w:val="1C081E39"/>
    <w:rsid w:val="1DE877AA"/>
    <w:rsid w:val="25B05051"/>
    <w:rsid w:val="25DF5EAE"/>
    <w:rsid w:val="284D302B"/>
    <w:rsid w:val="28976054"/>
    <w:rsid w:val="2AA36F32"/>
    <w:rsid w:val="2CF47CC8"/>
    <w:rsid w:val="2D6B7AAF"/>
    <w:rsid w:val="2F124686"/>
    <w:rsid w:val="30917F49"/>
    <w:rsid w:val="333C6176"/>
    <w:rsid w:val="34272982"/>
    <w:rsid w:val="35F42D38"/>
    <w:rsid w:val="36095280"/>
    <w:rsid w:val="36940077"/>
    <w:rsid w:val="372D3A77"/>
    <w:rsid w:val="38A84948"/>
    <w:rsid w:val="38DB3D3B"/>
    <w:rsid w:val="3AB807D8"/>
    <w:rsid w:val="3B9A1C8B"/>
    <w:rsid w:val="42277FF1"/>
    <w:rsid w:val="4729480B"/>
    <w:rsid w:val="4A534079"/>
    <w:rsid w:val="4B5A4F93"/>
    <w:rsid w:val="4F4026F2"/>
    <w:rsid w:val="4F693DE7"/>
    <w:rsid w:val="5003209D"/>
    <w:rsid w:val="50D0508C"/>
    <w:rsid w:val="52B15DE1"/>
    <w:rsid w:val="5C360C0E"/>
    <w:rsid w:val="5C514191"/>
    <w:rsid w:val="5CBB785C"/>
    <w:rsid w:val="5CF4477C"/>
    <w:rsid w:val="5EF07C91"/>
    <w:rsid w:val="611B4099"/>
    <w:rsid w:val="61AE798F"/>
    <w:rsid w:val="638766EA"/>
    <w:rsid w:val="63A159FD"/>
    <w:rsid w:val="651915C4"/>
    <w:rsid w:val="65F55B8D"/>
    <w:rsid w:val="6D4573FA"/>
    <w:rsid w:val="70131A31"/>
    <w:rsid w:val="709A7A5C"/>
    <w:rsid w:val="716F0EE9"/>
    <w:rsid w:val="717271F7"/>
    <w:rsid w:val="74E03EAC"/>
    <w:rsid w:val="75F419BD"/>
    <w:rsid w:val="782B18E2"/>
    <w:rsid w:val="78574485"/>
    <w:rsid w:val="7A8F43AA"/>
    <w:rsid w:val="7E77762F"/>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qFormat/>
    <w:uiPriority w:val="99"/>
    <w:pPr>
      <w:spacing w:after="120"/>
    </w:pPr>
    <w:rPr>
      <w:kern w:val="0"/>
      <w:sz w:val="24"/>
      <w:szCs w:val="24"/>
    </w:rPr>
  </w:style>
  <w:style w:type="paragraph" w:styleId="6">
    <w:name w:val="Plain Text"/>
    <w:basedOn w:val="1"/>
    <w:qFormat/>
    <w:uiPriority w:val="99"/>
    <w:rPr>
      <w:rFonts w:ascii="宋体" w:hAnsi="Courier New"/>
      <w:sz w:val="28"/>
      <w:szCs w:val="20"/>
    </w:rPr>
  </w:style>
  <w:style w:type="paragraph" w:styleId="7">
    <w:name w:val="Date"/>
    <w:basedOn w:val="1"/>
    <w:next w:val="1"/>
    <w:qFormat/>
    <w:uiPriority w:val="0"/>
    <w:pPr>
      <w:ind w:left="100" w:leftChars="2500"/>
    </w:pPr>
    <w:rPr>
      <w:kern w:val="0"/>
      <w:sz w:val="20"/>
      <w:szCs w:val="24"/>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四级标题"/>
    <w:basedOn w:val="7"/>
    <w:qFormat/>
    <w:uiPriority w:val="0"/>
    <w:rPr>
      <w:rFonts w:eastAsia="黑体" w:cs="Times New Roman"/>
    </w:rPr>
  </w:style>
  <w:style w:type="paragraph" w:customStyle="1" w:styleId="13">
    <w:name w:val="第二层标题"/>
    <w:basedOn w:val="3"/>
    <w:qFormat/>
    <w:uiPriority w:val="0"/>
    <w:pPr>
      <w:spacing w:before="140" w:after="140" w:line="400" w:lineRule="exact"/>
    </w:pPr>
    <w:rPr>
      <w:b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10705</Words>
  <Characters>11045</Characters>
  <Lines>0</Lines>
  <Paragraphs>0</Paragraphs>
  <TotalTime>2</TotalTime>
  <ScaleCrop>false</ScaleCrop>
  <LinksUpToDate>false</LinksUpToDate>
  <CharactersWithSpaces>11772</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2024-08-26T01:23:00Z</dcterms:created>
  <dc:creator>季风</dc:creator>
  <cp:lastModifiedBy>季风</cp:lastModifiedBy>
  <dcterms:modified xsi:type="dcterms:W3CDTF">2024-09-02T01:19:58Z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225107CE722A422F87B4CCBC5ABB51CE_12</vt:lpwstr>
  </property>
</Properties>
</file>