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snapToGrid/>
        <w:ind w:left="0" w:leftChars="0" w:right="0" w:rightChars="0"/>
        <w:jc w:val="center"/>
        <w:rPr>
          <w:rFonts w:hint="eastAsia" w:ascii="宋体" w:hAnsi="宋体" w:cs="宋体"/>
          <w:b/>
          <w:sz w:val="44"/>
          <w:szCs w:val="44"/>
          <w:highlight w:val="none"/>
          <w:lang w:val="en-US" w:eastAsia="zh-CN"/>
        </w:rPr>
      </w:pPr>
      <w:r>
        <w:rPr>
          <w:rFonts w:hint="eastAsia" w:ascii="宋体" w:hAnsi="宋体" w:eastAsia="宋体" w:cs="宋体"/>
          <w:b/>
          <w:sz w:val="44"/>
          <w:szCs w:val="44"/>
          <w:highlight w:val="none"/>
        </w:rPr>
        <w:t>南通</w:t>
      </w:r>
      <w:r>
        <w:rPr>
          <w:rFonts w:hint="eastAsia" w:ascii="宋体" w:hAnsi="宋体" w:eastAsia="宋体" w:cs="宋体"/>
          <w:b/>
          <w:sz w:val="44"/>
          <w:szCs w:val="44"/>
          <w:highlight w:val="none"/>
          <w:lang w:eastAsia="zh-CN"/>
        </w:rPr>
        <w:t>兴东国际机场</w:t>
      </w:r>
      <w:r>
        <w:rPr>
          <w:rFonts w:hint="eastAsia" w:ascii="宋体" w:hAnsi="宋体" w:cs="宋体"/>
          <w:b/>
          <w:sz w:val="44"/>
          <w:szCs w:val="44"/>
          <w:highlight w:val="none"/>
          <w:lang w:val="en-US" w:eastAsia="zh-CN"/>
        </w:rPr>
        <w:t>综合安防管理平台升级</w:t>
      </w:r>
    </w:p>
    <w:p>
      <w:pPr>
        <w:pageBreakBefore w:val="0"/>
        <w:kinsoku/>
        <w:wordWrap/>
        <w:overflowPunct/>
        <w:topLinePunct w:val="0"/>
        <w:bidi w:val="0"/>
        <w:adjustRightInd/>
        <w:snapToGrid/>
        <w:ind w:left="0" w:leftChars="0" w:right="0" w:rightChars="0"/>
        <w:jc w:val="center"/>
        <w:rPr>
          <w:rFonts w:hint="eastAsia" w:ascii="宋体" w:hAnsi="宋体" w:eastAsia="宋体" w:cs="宋体"/>
          <w:b/>
          <w:sz w:val="44"/>
          <w:szCs w:val="44"/>
          <w:highlight w:val="none"/>
          <w:lang w:eastAsia="zh-CN"/>
        </w:rPr>
      </w:pPr>
      <w:r>
        <w:rPr>
          <w:rFonts w:hint="eastAsia" w:ascii="宋体" w:hAnsi="宋体" w:eastAsia="宋体" w:cs="宋体"/>
          <w:b/>
          <w:sz w:val="44"/>
          <w:szCs w:val="44"/>
          <w:highlight w:val="none"/>
          <w:lang w:eastAsia="zh-CN"/>
        </w:rPr>
        <w:t>采购</w:t>
      </w:r>
      <w:r>
        <w:rPr>
          <w:rFonts w:hint="eastAsia" w:ascii="宋体" w:hAnsi="宋体" w:eastAsia="宋体" w:cs="宋体"/>
          <w:b/>
          <w:sz w:val="44"/>
          <w:szCs w:val="44"/>
          <w:highlight w:val="none"/>
        </w:rPr>
        <w:t>文件</w:t>
      </w:r>
    </w:p>
    <w:p>
      <w:pPr>
        <w:pageBreakBefore w:val="0"/>
        <w:kinsoku/>
        <w:wordWrap/>
        <w:overflowPunct/>
        <w:topLinePunct w:val="0"/>
        <w:bidi w:val="0"/>
        <w:adjustRightInd/>
        <w:snapToGrid/>
        <w:spacing w:line="480" w:lineRule="exact"/>
        <w:ind w:left="0" w:leftChars="0" w:right="0" w:rightChars="0"/>
        <w:contextualSpacing/>
        <w:jc w:val="center"/>
        <w:outlineLvl w:val="0"/>
        <w:rPr>
          <w:rFonts w:ascii="黑体" w:hAnsi="黑体" w:eastAsia="黑体"/>
          <w:sz w:val="30"/>
          <w:szCs w:val="30"/>
          <w:highlight w:val="none"/>
        </w:rPr>
      </w:pPr>
      <w:r>
        <w:rPr>
          <w:rFonts w:hint="eastAsia" w:ascii="黑体" w:hAnsi="黑体" w:eastAsia="黑体"/>
          <w:sz w:val="30"/>
          <w:szCs w:val="30"/>
          <w:highlight w:val="none"/>
        </w:rPr>
        <w:t>第一章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采购</w:t>
      </w:r>
      <w:r>
        <w:rPr>
          <w:rFonts w:hint="eastAsia" w:ascii="黑体" w:hAnsi="黑体" w:eastAsia="黑体"/>
          <w:sz w:val="30"/>
          <w:szCs w:val="30"/>
          <w:highlight w:val="none"/>
        </w:rPr>
        <w:t>公告</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rPr>
      </w:pPr>
      <w:bookmarkStart w:id="0" w:name="_Toc10684"/>
      <w:r>
        <w:rPr>
          <w:rFonts w:hint="eastAsia" w:ascii="仿宋" w:hAnsi="仿宋" w:eastAsia="仿宋" w:cs="仿宋"/>
          <w:highlight w:val="none"/>
          <w:shd w:val="clear" w:color="auto" w:fill="FFFFFF"/>
        </w:rPr>
        <w:t>南通</w:t>
      </w:r>
      <w:r>
        <w:rPr>
          <w:rFonts w:hint="eastAsia" w:ascii="仿宋" w:hAnsi="仿宋" w:eastAsia="仿宋" w:cs="仿宋"/>
          <w:highlight w:val="none"/>
          <w:shd w:val="clear" w:color="auto" w:fill="FFFFFF"/>
          <w:lang w:eastAsia="zh-CN"/>
        </w:rPr>
        <w:t>机场集团</w:t>
      </w:r>
      <w:r>
        <w:rPr>
          <w:rFonts w:hint="eastAsia" w:ascii="仿宋" w:hAnsi="仿宋" w:eastAsia="仿宋" w:cs="仿宋"/>
          <w:highlight w:val="none"/>
          <w:shd w:val="clear" w:color="auto" w:fill="FFFFFF"/>
        </w:rPr>
        <w:t>有限公司</w:t>
      </w:r>
      <w:r>
        <w:rPr>
          <w:rFonts w:hint="eastAsia" w:ascii="仿宋" w:hAnsi="仿宋" w:eastAsia="仿宋" w:cs="仿宋"/>
          <w:highlight w:val="none"/>
          <w:shd w:val="clear" w:color="auto" w:fill="FFFFFF"/>
          <w:lang w:eastAsia="zh-CN"/>
        </w:rPr>
        <w:t>对</w:t>
      </w:r>
      <w:r>
        <w:rPr>
          <w:rFonts w:hint="eastAsia" w:ascii="仿宋" w:hAnsi="仿宋" w:eastAsia="仿宋" w:cs="仿宋"/>
          <w:highlight w:val="none"/>
          <w:shd w:val="clear" w:color="auto" w:fill="FFFFFF"/>
          <w:lang w:val="en-US" w:eastAsia="zh-CN"/>
        </w:rPr>
        <w:t>综合安防管理平台升级</w:t>
      </w:r>
      <w:r>
        <w:rPr>
          <w:rFonts w:hint="eastAsia" w:ascii="仿宋" w:hAnsi="仿宋" w:eastAsia="仿宋" w:cs="仿宋"/>
          <w:highlight w:val="none"/>
          <w:shd w:val="clear" w:color="auto" w:fill="FFFFFF"/>
        </w:rPr>
        <w:t>进行</w:t>
      </w:r>
      <w:r>
        <w:rPr>
          <w:rFonts w:hint="eastAsia" w:ascii="仿宋" w:hAnsi="仿宋" w:eastAsia="仿宋" w:cs="仿宋"/>
          <w:highlight w:val="none"/>
          <w:shd w:val="clear" w:color="auto" w:fill="FFFFFF"/>
          <w:lang w:val="en-US" w:eastAsia="zh-CN"/>
        </w:rPr>
        <w:t>竞争性磋商方式</w:t>
      </w:r>
      <w:r>
        <w:rPr>
          <w:rFonts w:hint="eastAsia" w:ascii="仿宋" w:hAnsi="仿宋" w:eastAsia="仿宋" w:cs="仿宋"/>
          <w:highlight w:val="none"/>
          <w:shd w:val="clear" w:color="auto" w:fill="FFFFFF"/>
        </w:rPr>
        <w:t>采购，特邀请符合条件的供应商参加。</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一、项目内容</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lang w:val="en-US" w:eastAsia="zh-CN"/>
        </w:rPr>
      </w:pPr>
      <w:r>
        <w:rPr>
          <w:rFonts w:hint="eastAsia" w:ascii="仿宋" w:hAnsi="仿宋" w:eastAsia="仿宋" w:cs="仿宋"/>
          <w:highlight w:val="none"/>
          <w:shd w:val="clear" w:color="auto" w:fill="FFFFFF"/>
        </w:rPr>
        <w:t>项目编号：</w:t>
      </w:r>
      <w:r>
        <w:rPr>
          <w:rFonts w:hint="eastAsia" w:ascii="仿宋" w:hAnsi="仿宋" w:eastAsia="仿宋" w:cs="仿宋"/>
          <w:highlight w:val="none"/>
          <w:shd w:val="clear" w:color="auto" w:fill="FFFFFF"/>
          <w:lang w:val="en-US" w:eastAsia="zh-CN"/>
        </w:rPr>
        <w:t>JCJT-ZC</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en-US" w:eastAsia="zh-CN"/>
        </w:rPr>
        <w:t>2024053</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rPr>
        <w:t>项目名称：南通</w:t>
      </w:r>
      <w:r>
        <w:rPr>
          <w:rFonts w:hint="eastAsia" w:ascii="仿宋" w:hAnsi="仿宋" w:eastAsia="仿宋" w:cs="仿宋"/>
          <w:highlight w:val="none"/>
          <w:shd w:val="clear" w:color="auto" w:fill="FFFFFF"/>
          <w:lang w:eastAsia="zh-CN"/>
        </w:rPr>
        <w:t>兴东国际机场</w:t>
      </w:r>
      <w:r>
        <w:rPr>
          <w:rFonts w:hint="eastAsia" w:ascii="仿宋" w:hAnsi="仿宋" w:eastAsia="仿宋" w:cs="仿宋"/>
          <w:highlight w:val="none"/>
          <w:shd w:val="clear" w:color="auto" w:fill="FFFFFF"/>
          <w:lang w:val="en-US" w:eastAsia="zh-CN"/>
        </w:rPr>
        <w:t>综合安防管理平台升级</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highlight w:val="none"/>
          <w:lang w:val="en-US" w:eastAsia="zh-CN"/>
        </w:rPr>
      </w:pPr>
      <w:r>
        <w:rPr>
          <w:rFonts w:hint="eastAsia" w:ascii="仿宋" w:hAnsi="仿宋" w:eastAsia="仿宋" w:cs="仿宋"/>
          <w:highlight w:val="none"/>
          <w:shd w:val="clear" w:color="auto" w:fill="FFFFFF"/>
        </w:rPr>
        <w:t>采购预算：人民币</w:t>
      </w:r>
      <w:r>
        <w:rPr>
          <w:rFonts w:hint="eastAsia" w:ascii="仿宋" w:hAnsi="仿宋" w:eastAsia="仿宋" w:cs="仿宋"/>
          <w:highlight w:val="none"/>
          <w:shd w:val="clear" w:color="auto" w:fill="FFFFFF"/>
          <w:lang w:val="en-US" w:eastAsia="zh-CN"/>
        </w:rPr>
        <w:t>叁拾陆万陆仟伍佰元</w:t>
      </w:r>
      <w:r>
        <w:rPr>
          <w:rFonts w:hint="eastAsia" w:ascii="仿宋" w:hAnsi="仿宋" w:eastAsia="仿宋" w:cs="仿宋"/>
          <w:highlight w:val="none"/>
          <w:shd w:val="clear" w:color="auto" w:fill="FFFFFF"/>
          <w:lang w:eastAsia="zh-CN"/>
        </w:rPr>
        <w:t>整（</w:t>
      </w:r>
      <w:r>
        <w:rPr>
          <w:rFonts w:hint="eastAsia" w:ascii="仿宋" w:hAnsi="仿宋" w:eastAsia="仿宋" w:cs="仿宋"/>
          <w:highlight w:val="none"/>
          <w:shd w:val="clear" w:color="auto" w:fill="FFFFFF"/>
          <w:lang w:val="zh-CN"/>
        </w:rPr>
        <w:t>￥</w:t>
      </w:r>
      <w:r>
        <w:rPr>
          <w:rFonts w:hint="eastAsia" w:ascii="仿宋" w:hAnsi="仿宋" w:eastAsia="仿宋" w:cs="仿宋"/>
          <w:highlight w:val="none"/>
          <w:shd w:val="clear" w:color="auto" w:fill="FFFFFF"/>
          <w:lang w:val="en-US" w:eastAsia="zh-CN"/>
        </w:rPr>
        <w:t>366500</w:t>
      </w:r>
      <w:r>
        <w:rPr>
          <w:rFonts w:hint="eastAsia" w:ascii="仿宋" w:hAnsi="仿宋" w:eastAsia="仿宋" w:cs="仿宋"/>
          <w:highlight w:val="none"/>
          <w:shd w:val="clear" w:color="auto" w:fill="FFFFFF"/>
          <w:lang w:val="zh-CN"/>
        </w:rPr>
        <w:t>.00</w:t>
      </w:r>
      <w:r>
        <w:rPr>
          <w:rFonts w:hint="eastAsia" w:ascii="仿宋" w:hAnsi="仿宋" w:eastAsia="仿宋" w:cs="仿宋"/>
          <w:highlight w:val="none"/>
          <w:shd w:val="clear" w:color="auto" w:fill="FFFFFF"/>
          <w:lang w:eastAsia="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rPr>
      </w:pPr>
      <w:r>
        <w:rPr>
          <w:rFonts w:hint="eastAsia" w:ascii="仿宋" w:hAnsi="仿宋" w:eastAsia="仿宋" w:cs="仿宋"/>
          <w:highlight w:val="none"/>
          <w:shd w:val="clear" w:color="auto" w:fill="FFFFFF"/>
          <w:lang w:eastAsia="zh-CN"/>
        </w:rPr>
        <w:t>项目</w:t>
      </w:r>
      <w:r>
        <w:rPr>
          <w:rFonts w:hint="eastAsia" w:ascii="仿宋" w:hAnsi="仿宋" w:eastAsia="仿宋" w:cs="仿宋"/>
          <w:highlight w:val="none"/>
          <w:shd w:val="clear" w:color="auto" w:fill="FFFFFF"/>
        </w:rPr>
        <w:t>清单：详见</w:t>
      </w:r>
      <w:r>
        <w:rPr>
          <w:rFonts w:hint="eastAsia" w:ascii="仿宋" w:hAnsi="仿宋" w:eastAsia="仿宋" w:cs="仿宋"/>
          <w:highlight w:val="none"/>
          <w:shd w:val="clear" w:color="auto" w:fill="FFFFFF"/>
          <w:lang w:eastAsia="zh-CN"/>
        </w:rPr>
        <w:t>第三章项目需求</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二、</w:t>
      </w:r>
      <w:r>
        <w:rPr>
          <w:rFonts w:hint="eastAsia" w:ascii="黑体" w:hAnsi="黑体" w:eastAsia="黑体" w:cs="黑体"/>
          <w:b/>
          <w:bCs/>
          <w:highlight w:val="none"/>
          <w:shd w:val="clear" w:color="auto" w:fill="FFFFFF"/>
          <w:lang w:eastAsia="zh-CN"/>
        </w:rPr>
        <w:t>资格</w:t>
      </w:r>
      <w:r>
        <w:rPr>
          <w:rFonts w:hint="eastAsia" w:ascii="黑体" w:hAnsi="黑体" w:eastAsia="黑体" w:cs="黑体"/>
          <w:b/>
          <w:bCs/>
          <w:highlight w:val="none"/>
          <w:shd w:val="clear" w:color="auto" w:fill="FFFFFF"/>
        </w:rPr>
        <w:t>要求</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rPr>
        <w:t>资质条件：</w:t>
      </w:r>
      <w:r>
        <w:rPr>
          <w:rFonts w:hint="eastAsia" w:ascii="仿宋" w:hAnsi="仿宋" w:eastAsia="仿宋" w:cs="仿宋"/>
          <w:b w:val="0"/>
          <w:bCs w:val="0"/>
          <w:highlight w:val="none"/>
          <w:shd w:val="clear" w:color="auto" w:fill="FFFFFF"/>
          <w:lang w:eastAsia="zh-CN"/>
        </w:rPr>
        <w:t>磋商响应人</w:t>
      </w:r>
      <w:r>
        <w:rPr>
          <w:rFonts w:hint="eastAsia" w:ascii="仿宋" w:hAnsi="仿宋" w:eastAsia="仿宋" w:cs="仿宋"/>
          <w:b w:val="0"/>
          <w:bCs w:val="0"/>
          <w:highlight w:val="none"/>
          <w:shd w:val="clear" w:color="auto" w:fill="FFFFFF"/>
        </w:rPr>
        <w:t>具有</w:t>
      </w:r>
      <w:r>
        <w:rPr>
          <w:rFonts w:hint="eastAsia" w:ascii="仿宋" w:hAnsi="仿宋" w:eastAsia="仿宋" w:cs="仿宋"/>
          <w:b w:val="0"/>
          <w:bCs w:val="0"/>
          <w:highlight w:val="none"/>
          <w:shd w:val="clear" w:color="auto" w:fill="FFFFFF"/>
          <w:lang w:eastAsia="zh-CN"/>
        </w:rPr>
        <w:t>承担民事责任的法人资格</w:t>
      </w:r>
      <w:r>
        <w:rPr>
          <w:rFonts w:hint="eastAsia" w:ascii="仿宋" w:hAnsi="仿宋" w:eastAsia="仿宋" w:cs="仿宋"/>
          <w:b w:val="0"/>
          <w:bCs w:val="0"/>
          <w:highlight w:val="none"/>
          <w:shd w:val="clear" w:color="auto" w:fill="FFFFFF"/>
        </w:rPr>
        <w:t>，招标内容在其营业执照的经营范围内</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提供营业执照复印件加盖公章</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rPr>
        <w:t>财务要求：</w:t>
      </w:r>
      <w:r>
        <w:rPr>
          <w:rFonts w:hint="eastAsia" w:ascii="仿宋" w:hAnsi="仿宋" w:eastAsia="仿宋" w:cs="仿宋"/>
          <w:b w:val="0"/>
          <w:bCs w:val="0"/>
          <w:highlight w:val="none"/>
          <w:shd w:val="clear" w:color="auto" w:fill="FFFFFF"/>
          <w:lang w:eastAsia="zh-CN"/>
        </w:rPr>
        <w:t>磋商响应人具有健全的财务会计制度（</w:t>
      </w:r>
      <w:r>
        <w:rPr>
          <w:rFonts w:hint="eastAsia" w:ascii="仿宋" w:hAnsi="仿宋" w:eastAsia="仿宋" w:cs="仿宋"/>
          <w:b w:val="0"/>
          <w:bCs w:val="0"/>
          <w:highlight w:val="none"/>
          <w:shd w:val="clear" w:color="auto" w:fill="FFFFFF"/>
        </w:rPr>
        <w:t>提供</w:t>
      </w:r>
      <w:r>
        <w:rPr>
          <w:rFonts w:hint="eastAsia" w:ascii="仿宋" w:hAnsi="仿宋" w:eastAsia="仿宋" w:cs="仿宋"/>
          <w:b w:val="0"/>
          <w:bCs w:val="0"/>
          <w:highlight w:val="none"/>
          <w:shd w:val="clear" w:color="auto" w:fill="FFFFFF"/>
          <w:lang w:val="en-US" w:eastAsia="zh-CN"/>
        </w:rPr>
        <w:t>2023年</w:t>
      </w:r>
      <w:r>
        <w:rPr>
          <w:rFonts w:hint="eastAsia" w:ascii="仿宋" w:hAnsi="仿宋" w:eastAsia="仿宋" w:cs="仿宋"/>
          <w:b w:val="0"/>
          <w:bCs w:val="0"/>
          <w:highlight w:val="none"/>
          <w:shd w:val="clear" w:color="auto" w:fill="FFFFFF"/>
        </w:rPr>
        <w:t>财务</w:t>
      </w:r>
      <w:r>
        <w:rPr>
          <w:rFonts w:hint="eastAsia" w:ascii="仿宋" w:hAnsi="仿宋" w:eastAsia="仿宋" w:cs="仿宋"/>
          <w:b w:val="0"/>
          <w:bCs w:val="0"/>
          <w:highlight w:val="none"/>
          <w:shd w:val="clear" w:color="auto" w:fill="FFFFFF"/>
          <w:lang w:eastAsia="zh-CN"/>
        </w:rPr>
        <w:t>报表</w:t>
      </w:r>
      <w:r>
        <w:rPr>
          <w:rFonts w:hint="eastAsia" w:ascii="仿宋" w:hAnsi="仿宋" w:eastAsia="仿宋" w:cs="仿宋"/>
          <w:b w:val="0"/>
          <w:bCs w:val="0"/>
          <w:highlight w:val="none"/>
          <w:shd w:val="clear" w:color="auto" w:fill="FFFFFF"/>
          <w:lang w:val="en-US" w:eastAsia="zh-CN"/>
        </w:rPr>
        <w:t>加盖公章</w:t>
      </w:r>
      <w:r>
        <w:rPr>
          <w:rFonts w:hint="eastAsia" w:ascii="仿宋" w:hAnsi="仿宋" w:eastAsia="仿宋" w:cs="仿宋"/>
          <w:b w:val="0"/>
          <w:bCs w:val="0"/>
          <w:highlight w:val="none"/>
          <w:shd w:val="clear" w:color="auto" w:fill="FFFFFF"/>
          <w:lang w:eastAsia="zh-CN"/>
        </w:rPr>
        <w:t>）；</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rPr>
        <w:t>3</w:t>
      </w:r>
      <w:r>
        <w:rPr>
          <w:rFonts w:hint="eastAsia" w:ascii="仿宋" w:hAnsi="仿宋" w:eastAsia="仿宋" w:cs="仿宋"/>
          <w:b w:val="0"/>
          <w:bCs w:val="0"/>
          <w:highlight w:val="none"/>
          <w:shd w:val="clear" w:color="auto" w:fill="FFFFFF"/>
          <w:lang w:eastAsia="zh-CN"/>
        </w:rPr>
        <w:t>、商业信誉：磋商响应人具有良好的商业信誉，未被信用中国等信用媒体列入失信被执行人、企业经营异常名录、重大税收违法案件当事人名单、政府采购严重违法失信名单、</w:t>
      </w:r>
      <w:r>
        <w:rPr>
          <w:rFonts w:hint="eastAsia" w:ascii="仿宋" w:hAnsi="仿宋" w:eastAsia="仿宋" w:cs="仿宋"/>
          <w:b w:val="0"/>
          <w:bCs w:val="0"/>
          <w:color w:val="auto"/>
          <w:highlight w:val="none"/>
          <w:shd w:val="clear" w:color="auto" w:fill="FFFFFF"/>
          <w:lang w:eastAsia="zh-CN"/>
        </w:rPr>
        <w:t>没有因违反招投标规定被行政处罚且在公示期内</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sz w:val="24"/>
          <w:szCs w:val="24"/>
          <w:highlight w:val="none"/>
          <w:shd w:val="clear" w:color="auto" w:fill="FFFFFF"/>
          <w:lang w:eastAsia="zh-CN"/>
        </w:rPr>
        <w:t>本项由磋商响应人提供证明材料</w:t>
      </w:r>
      <w:r>
        <w:rPr>
          <w:rFonts w:hint="eastAsia" w:ascii="仿宋" w:hAnsi="仿宋" w:eastAsia="仿宋" w:cs="仿宋"/>
          <w:sz w:val="24"/>
          <w:szCs w:val="24"/>
          <w:highlight w:val="none"/>
          <w:lang w:val="en-US" w:eastAsia="zh-CN"/>
        </w:rPr>
        <w:t>加盖公章</w:t>
      </w:r>
      <w:r>
        <w:rPr>
          <w:rFonts w:hint="eastAsia" w:ascii="仿宋" w:hAnsi="仿宋" w:eastAsia="仿宋" w:cs="仿宋"/>
          <w:b w:val="0"/>
          <w:bCs w:val="0"/>
          <w:highlight w:val="none"/>
          <w:shd w:val="clear" w:color="auto" w:fill="FFFFFF"/>
          <w:lang w:eastAsia="zh-CN"/>
        </w:rPr>
        <w:t>）；</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4、履约能力：磋商响应人具有履行合同所必需的设备和专业技术能力（提供2021年1月1日起签订的</w:t>
      </w:r>
      <w:r>
        <w:rPr>
          <w:rFonts w:hint="eastAsia" w:ascii="仿宋" w:hAnsi="仿宋" w:eastAsia="仿宋" w:cs="仿宋"/>
          <w:sz w:val="24"/>
          <w:szCs w:val="24"/>
          <w:highlight w:val="none"/>
          <w:lang w:val="en-US" w:eastAsia="zh-CN"/>
        </w:rPr>
        <w:t>国产监控系统销售或安防管理平台国产化升级业绩案例（提供合同及发票复印件加盖公章）</w:t>
      </w:r>
      <w:r>
        <w:rPr>
          <w:rFonts w:hint="eastAsia" w:ascii="仿宋" w:hAnsi="仿宋" w:eastAsia="仿宋" w:cs="仿宋"/>
          <w:b w:val="0"/>
          <w:bCs w:val="0"/>
          <w:highlight w:val="none"/>
          <w:shd w:val="clear" w:color="auto" w:fill="FFFFFF"/>
          <w:lang w:val="en-US" w:eastAsia="zh-CN"/>
        </w:rPr>
        <w:t>；</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5、</w:t>
      </w:r>
      <w:r>
        <w:rPr>
          <w:rFonts w:hint="eastAsia" w:ascii="仿宋" w:hAnsi="仿宋" w:eastAsia="仿宋" w:cs="仿宋"/>
          <w:b w:val="0"/>
          <w:bCs w:val="0"/>
          <w:highlight w:val="none"/>
          <w:shd w:val="clear" w:color="auto" w:fill="FFFFFF"/>
        </w:rPr>
        <w:t>其他要求：</w:t>
      </w:r>
      <w:r>
        <w:rPr>
          <w:rFonts w:hint="eastAsia" w:ascii="仿宋" w:hAnsi="仿宋" w:eastAsia="仿宋" w:cs="仿宋"/>
          <w:b w:val="0"/>
          <w:bCs w:val="0"/>
          <w:highlight w:val="none"/>
          <w:shd w:val="clear" w:color="auto" w:fill="FFFFFF"/>
          <w:lang w:eastAsia="zh-CN"/>
        </w:rPr>
        <w:t>有依法缴纳税收和社会保障资金的良好记录（提供开标前三个月的缴纳税收和社会保障资金的记录材料，加盖公章）；</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6、</w:t>
      </w:r>
      <w:r>
        <w:rPr>
          <w:rFonts w:hint="eastAsia" w:ascii="仿宋" w:hAnsi="仿宋" w:eastAsia="仿宋" w:cs="仿宋"/>
          <w:b w:val="0"/>
          <w:bCs w:val="0"/>
          <w:highlight w:val="none"/>
          <w:shd w:val="clear" w:color="auto" w:fill="FFFFFF"/>
        </w:rPr>
        <w:t>本次招标不接受联合体投标</w:t>
      </w:r>
      <w:r>
        <w:rPr>
          <w:rFonts w:hint="eastAsia" w:ascii="仿宋" w:hAnsi="仿宋" w:eastAsia="仿宋" w:cs="仿宋"/>
          <w:b w:val="0"/>
          <w:bCs w:val="0"/>
          <w:highlight w:val="none"/>
          <w:shd w:val="clear" w:color="auto" w:fill="FFFFFF"/>
          <w:lang w:eastAsia="zh-CN"/>
        </w:rPr>
        <w:t>；</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7、</w:t>
      </w:r>
      <w:r>
        <w:rPr>
          <w:rFonts w:hint="eastAsia" w:ascii="仿宋" w:hAnsi="仿宋" w:eastAsia="仿宋" w:cs="仿宋"/>
          <w:b w:val="0"/>
          <w:bCs w:val="0"/>
          <w:highlight w:val="none"/>
          <w:shd w:val="clear" w:color="auto" w:fill="FFFFFF"/>
        </w:rPr>
        <w:t>具有投资参股关系的关联企业，或具有直接管理和被管理关系的母子公司，或同一母公司的子公司，不予同时参加</w:t>
      </w:r>
      <w:r>
        <w:rPr>
          <w:rFonts w:hint="eastAsia" w:ascii="仿宋" w:hAnsi="仿宋" w:eastAsia="仿宋" w:cs="仿宋"/>
          <w:b w:val="0"/>
          <w:bCs w:val="0"/>
          <w:highlight w:val="none"/>
          <w:shd w:val="clear" w:color="auto" w:fill="FFFFFF"/>
          <w:lang w:eastAsia="zh-CN"/>
        </w:rPr>
        <w:t>本项目</w:t>
      </w:r>
      <w:r>
        <w:rPr>
          <w:rFonts w:hint="eastAsia" w:ascii="仿宋" w:hAnsi="仿宋" w:eastAsia="仿宋" w:cs="仿宋"/>
          <w:b w:val="0"/>
          <w:bCs w:val="0"/>
          <w:highlight w:val="none"/>
          <w:shd w:val="clear" w:color="auto" w:fill="FFFFFF"/>
        </w:rPr>
        <w:t>投标；法人代表为同一人的两个及以上公司，不予同时参加本</w:t>
      </w:r>
      <w:r>
        <w:rPr>
          <w:rFonts w:hint="eastAsia" w:ascii="仿宋" w:hAnsi="仿宋" w:eastAsia="仿宋" w:cs="仿宋"/>
          <w:b w:val="0"/>
          <w:bCs w:val="0"/>
          <w:highlight w:val="none"/>
          <w:shd w:val="clear" w:color="auto" w:fill="FFFFFF"/>
          <w:lang w:eastAsia="zh-CN"/>
        </w:rPr>
        <w:t>项目</w:t>
      </w:r>
      <w:r>
        <w:rPr>
          <w:rFonts w:hint="eastAsia" w:ascii="仿宋" w:hAnsi="仿宋" w:eastAsia="仿宋" w:cs="仿宋"/>
          <w:b w:val="0"/>
          <w:bCs w:val="0"/>
          <w:highlight w:val="none"/>
          <w:shd w:val="clear" w:color="auto" w:fill="FFFFFF"/>
        </w:rPr>
        <w:t>投标</w:t>
      </w:r>
      <w:r>
        <w:rPr>
          <w:rFonts w:hint="eastAsia" w:ascii="仿宋" w:hAnsi="仿宋" w:eastAsia="仿宋" w:cs="仿宋"/>
          <w:b w:val="0"/>
          <w:bCs w:val="0"/>
          <w:highlight w:val="none"/>
          <w:shd w:val="clear" w:color="auto" w:fill="FFFFFF"/>
          <w:lang w:eastAsia="zh-CN"/>
        </w:rPr>
        <w:t>。</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三、</w:t>
      </w:r>
      <w:r>
        <w:rPr>
          <w:rFonts w:hint="eastAsia" w:ascii="黑体" w:hAnsi="黑体" w:eastAsia="黑体" w:cs="黑体"/>
          <w:b/>
          <w:bCs/>
          <w:highlight w:val="none"/>
          <w:shd w:val="clear" w:color="auto" w:fill="FFFFFF"/>
          <w:lang w:eastAsia="zh-CN"/>
        </w:rPr>
        <w:t>文件获取</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1、采购文件获取时间：自公告发布之日起；</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2、采购文件获取方法：在</w:t>
      </w:r>
      <w:r>
        <w:rPr>
          <w:rFonts w:hint="eastAsia" w:ascii="仿宋" w:hAnsi="仿宋" w:eastAsia="仿宋" w:cs="仿宋"/>
          <w:highlight w:val="none"/>
          <w:shd w:val="clear" w:color="auto" w:fill="FFFFFF"/>
          <w:lang w:val="en-US" w:eastAsia="zh-CN"/>
        </w:rPr>
        <w:t>南通兴东国际机场官网</w:t>
      </w:r>
      <w:r>
        <w:rPr>
          <w:rFonts w:hint="eastAsia" w:ascii="仿宋" w:hAnsi="仿宋" w:eastAsia="仿宋" w:cs="仿宋"/>
          <w:highlight w:val="none"/>
          <w:shd w:val="clear" w:color="auto" w:fill="FFFFFF"/>
          <w:lang w:val="zh-CN"/>
        </w:rPr>
        <w:t>上自行下载。</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四、</w:t>
      </w:r>
      <w:r>
        <w:rPr>
          <w:rFonts w:hint="eastAsia" w:ascii="黑体" w:hAnsi="黑体" w:eastAsia="黑体" w:cs="黑体"/>
          <w:b/>
          <w:bCs/>
          <w:highlight w:val="none"/>
          <w:shd w:val="clear" w:color="auto" w:fill="FFFFFF"/>
          <w:lang w:eastAsia="zh-CN"/>
        </w:rPr>
        <w:t>文件递交</w:t>
      </w:r>
    </w:p>
    <w:p>
      <w:pPr>
        <w:pStyle w:val="11"/>
        <w:pageBreakBefore w:val="0"/>
        <w:widowControl/>
        <w:shd w:val="clear" w:color="auto" w:fill="FFFFFF"/>
        <w:kinsoku/>
        <w:wordWrap/>
        <w:overflowPunct/>
        <w:bidi w:val="0"/>
        <w:adjustRightInd w:val="0"/>
        <w:snapToGrid w:val="0"/>
        <w:spacing w:before="157" w:beforeLines="50" w:beforeAutospacing="0" w:after="157" w:afterLines="50" w:afterAutospacing="0" w:line="30" w:lineRule="atLeast"/>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1、</w:t>
      </w:r>
      <w:r>
        <w:rPr>
          <w:rFonts w:hint="eastAsia" w:ascii="仿宋" w:hAnsi="仿宋" w:eastAsia="仿宋" w:cs="仿宋"/>
          <w:highlight w:val="none"/>
          <w:shd w:val="clear" w:color="auto" w:fill="FFFFFF"/>
          <w:lang w:val="zh-CN"/>
        </w:rPr>
        <w:t>递交截止时间：</w:t>
      </w:r>
      <w:r>
        <w:rPr>
          <w:rFonts w:hint="eastAsia" w:ascii="仿宋" w:hAnsi="仿宋" w:eastAsia="仿宋" w:cs="仿宋"/>
          <w:highlight w:val="none"/>
          <w:shd w:val="clear" w:color="auto" w:fill="FFFFFF"/>
        </w:rPr>
        <w:t>202</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rPr>
        <w:t>年</w:t>
      </w:r>
      <w:r>
        <w:rPr>
          <w:rFonts w:hint="eastAsia" w:ascii="仿宋" w:hAnsi="仿宋" w:eastAsia="仿宋" w:cs="仿宋"/>
          <w:highlight w:val="none"/>
          <w:shd w:val="clear" w:color="auto" w:fill="FFFFFF"/>
          <w:lang w:val="en-US" w:eastAsia="zh-CN"/>
        </w:rPr>
        <w:t>6</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28</w:t>
      </w:r>
      <w:r>
        <w:rPr>
          <w:rFonts w:hint="eastAsia" w:ascii="仿宋" w:hAnsi="仿宋" w:eastAsia="仿宋" w:cs="仿宋"/>
          <w:highlight w:val="none"/>
          <w:shd w:val="clear" w:color="auto" w:fill="FFFFFF"/>
          <w:lang w:val="zh-CN"/>
        </w:rPr>
        <w:t>日</w:t>
      </w:r>
      <w:r>
        <w:rPr>
          <w:rFonts w:hint="eastAsia" w:ascii="仿宋" w:hAnsi="仿宋" w:eastAsia="仿宋" w:cs="仿宋"/>
          <w:highlight w:val="none"/>
          <w:shd w:val="clear" w:color="auto" w:fill="FFFFFF"/>
          <w:lang w:eastAsia="zh-CN"/>
        </w:rPr>
        <w:t>上午</w:t>
      </w:r>
      <w:r>
        <w:rPr>
          <w:rFonts w:hint="eastAsia" w:ascii="仿宋" w:hAnsi="仿宋" w:eastAsia="仿宋" w:cs="仿宋"/>
          <w:highlight w:val="none"/>
          <w:shd w:val="clear" w:color="auto" w:fill="FFFFFF"/>
          <w:lang w:val="en-US" w:eastAsia="zh-CN"/>
        </w:rPr>
        <w:t>10:00</w:t>
      </w:r>
      <w:r>
        <w:rPr>
          <w:rFonts w:hint="eastAsia" w:ascii="仿宋" w:hAnsi="仿宋" w:eastAsia="仿宋" w:cs="仿宋"/>
          <w:highlight w:val="none"/>
          <w:shd w:val="clear" w:color="auto" w:fill="FFFFFF"/>
          <w:lang w:val="zh-CN"/>
        </w:rPr>
        <w:t>（开标时间同上）；</w:t>
      </w:r>
    </w:p>
    <w:p>
      <w:pPr>
        <w:pStyle w:val="11"/>
        <w:pageBreakBefore w:val="0"/>
        <w:widowControl/>
        <w:shd w:val="clear" w:color="auto" w:fill="FFFFFF"/>
        <w:kinsoku/>
        <w:wordWrap/>
        <w:overflowPunct/>
        <w:bidi w:val="0"/>
        <w:adjustRightInd w:val="0"/>
        <w:snapToGrid w:val="0"/>
        <w:spacing w:before="157" w:beforeLines="50" w:beforeAutospacing="0" w:after="157" w:afterLines="50" w:afterAutospacing="0" w:line="30" w:lineRule="atLeast"/>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2、</w:t>
      </w:r>
      <w:r>
        <w:rPr>
          <w:rFonts w:hint="eastAsia" w:ascii="仿宋" w:hAnsi="仿宋" w:eastAsia="仿宋" w:cs="仿宋"/>
          <w:highlight w:val="none"/>
          <w:shd w:val="clear" w:color="auto" w:fill="FFFFFF"/>
          <w:lang w:val="zh-CN"/>
        </w:rPr>
        <w:t>文件递交地点：南通兴东国际机场办公楼</w:t>
      </w:r>
      <w:r>
        <w:rPr>
          <w:rFonts w:hint="eastAsia" w:ascii="仿宋" w:hAnsi="仿宋" w:eastAsia="仿宋" w:cs="仿宋"/>
          <w:highlight w:val="none"/>
          <w:shd w:val="clear" w:color="auto" w:fill="FFFFFF"/>
        </w:rPr>
        <w:t>208</w:t>
      </w:r>
      <w:r>
        <w:rPr>
          <w:rFonts w:hint="eastAsia" w:ascii="仿宋" w:hAnsi="仿宋" w:eastAsia="仿宋" w:cs="仿宋"/>
          <w:highlight w:val="none"/>
          <w:shd w:val="clear" w:color="auto" w:fill="FFFFFF"/>
          <w:lang w:val="zh-CN"/>
        </w:rPr>
        <w:t>室（开标地点同上）；</w:t>
      </w:r>
    </w:p>
    <w:p>
      <w:pPr>
        <w:pStyle w:val="11"/>
        <w:pageBreakBefore w:val="0"/>
        <w:widowControl/>
        <w:shd w:val="clear" w:color="auto" w:fill="FFFFFF"/>
        <w:kinsoku/>
        <w:wordWrap/>
        <w:overflowPunct/>
        <w:bidi w:val="0"/>
        <w:adjustRightInd w:val="0"/>
        <w:snapToGrid w:val="0"/>
        <w:spacing w:before="157" w:beforeLines="50" w:beforeAutospacing="0" w:after="157" w:afterLines="50" w:afterAutospacing="0" w:line="30" w:lineRule="atLeast"/>
        <w:ind w:firstLine="480" w:firstLineChars="200"/>
        <w:jc w:val="both"/>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3、文件递交方式：</w:t>
      </w:r>
      <w:r>
        <w:rPr>
          <w:rFonts w:hint="eastAsia" w:ascii="仿宋" w:hAnsi="仿宋" w:eastAsia="仿宋" w:cs="仿宋"/>
          <w:highlight w:val="none"/>
          <w:shd w:val="clear" w:color="auto" w:fill="FFFFFF"/>
          <w:lang w:val="en-US" w:eastAsia="zh-CN"/>
        </w:rPr>
        <w:t>【邮寄】递交纸质材料（不见面开标）</w:t>
      </w:r>
      <w:r>
        <w:rPr>
          <w:rFonts w:hint="eastAsia" w:ascii="仿宋" w:hAnsi="仿宋" w:eastAsia="仿宋" w:cs="仿宋"/>
          <w:highlight w:val="none"/>
          <w:shd w:val="clear" w:color="auto" w:fill="FFFFFF"/>
        </w:rPr>
        <w:t>；</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4、逾期送达的或者未送达指定地点的响应文件，采购人不予受理。</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lang w:val="zh-CN"/>
        </w:rPr>
        <w:t>五、公告媒体</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本次采购公告在</w:t>
      </w:r>
      <w:r>
        <w:rPr>
          <w:rFonts w:hint="eastAsia" w:ascii="仿宋" w:hAnsi="仿宋" w:eastAsia="仿宋" w:cs="仿宋"/>
          <w:highlight w:val="none"/>
          <w:shd w:val="clear" w:color="auto" w:fill="FFFFFF"/>
          <w:lang w:val="en-US" w:eastAsia="zh-CN"/>
        </w:rPr>
        <w:t>南通兴东国际机场官网</w:t>
      </w:r>
      <w:r>
        <w:rPr>
          <w:rFonts w:hint="eastAsia" w:ascii="仿宋" w:hAnsi="仿宋" w:eastAsia="仿宋" w:cs="仿宋"/>
          <w:highlight w:val="none"/>
          <w:shd w:val="clear" w:color="auto" w:fill="FFFFFF"/>
          <w:lang w:val="zh-CN"/>
        </w:rPr>
        <w:t>上发布 </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黑体" w:hAnsi="黑体" w:eastAsia="黑体" w:cs="黑体"/>
          <w:b/>
          <w:bCs/>
          <w:highlight w:val="none"/>
          <w:shd w:val="clear" w:color="auto" w:fill="FFFFFF"/>
        </w:rPr>
      </w:pPr>
      <w:r>
        <w:rPr>
          <w:rFonts w:hint="eastAsia" w:ascii="仿宋" w:hAnsi="仿宋" w:eastAsia="仿宋" w:cs="仿宋"/>
          <w:highlight w:val="none"/>
          <w:shd w:val="clear" w:color="auto" w:fill="FFFFFF"/>
          <w:lang w:val="zh-CN"/>
        </w:rPr>
        <w:t> </w:t>
      </w:r>
      <w:r>
        <w:rPr>
          <w:rFonts w:hint="eastAsia" w:ascii="黑体" w:hAnsi="黑体" w:eastAsia="黑体" w:cs="黑体"/>
          <w:b/>
          <w:bCs/>
          <w:highlight w:val="none"/>
          <w:shd w:val="clear" w:color="auto" w:fill="FFFFFF"/>
        </w:rPr>
        <w:t>六、联系方式</w:t>
      </w:r>
      <w:bookmarkEnd w:id="0"/>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采购人：南通</w:t>
      </w:r>
      <w:r>
        <w:rPr>
          <w:rFonts w:hint="eastAsia" w:ascii="仿宋" w:hAnsi="仿宋" w:eastAsia="仿宋" w:cs="仿宋"/>
          <w:highlight w:val="none"/>
          <w:shd w:val="clear" w:color="auto" w:fill="FFFFFF"/>
          <w:lang w:val="zh-CN" w:eastAsia="zh-CN"/>
        </w:rPr>
        <w:t>机场集团</w:t>
      </w:r>
      <w:r>
        <w:rPr>
          <w:rFonts w:hint="eastAsia" w:ascii="仿宋" w:hAnsi="仿宋" w:eastAsia="仿宋" w:cs="仿宋"/>
          <w:highlight w:val="none"/>
          <w:shd w:val="clear" w:color="auto" w:fill="FFFFFF"/>
          <w:lang w:val="zh-CN"/>
        </w:rPr>
        <w:t>有限公司</w:t>
      </w:r>
    </w:p>
    <w:p>
      <w:pPr>
        <w:pStyle w:val="11"/>
        <w:widowControl/>
        <w:shd w:val="clear" w:color="auto" w:fill="FFFFFF"/>
        <w:spacing w:beforeAutospacing="0" w:afterAutospacing="0" w:line="360" w:lineRule="auto"/>
        <w:ind w:firstLine="1440" w:firstLineChars="6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联系人：</w:t>
      </w:r>
    </w:p>
    <w:p>
      <w:pPr>
        <w:pStyle w:val="11"/>
        <w:widowControl/>
        <w:shd w:val="clear" w:color="auto" w:fill="FFFFFF"/>
        <w:spacing w:beforeAutospacing="0" w:afterAutospacing="0" w:line="360" w:lineRule="auto"/>
        <w:ind w:firstLine="1440" w:firstLineChars="600"/>
        <w:jc w:val="both"/>
        <w:rPr>
          <w:rFonts w:hint="eastAsia" w:ascii="仿宋" w:hAnsi="仿宋" w:eastAsia="仿宋" w:cs="仿宋"/>
          <w:highlight w:val="none"/>
          <w:shd w:val="clear" w:color="auto" w:fill="FFFFFF"/>
          <w:lang w:val="zh-CN"/>
        </w:rPr>
      </w:pPr>
      <w:bookmarkStart w:id="1" w:name="_GoBack"/>
      <w:bookmarkEnd w:id="1"/>
      <w:r>
        <w:rPr>
          <w:rFonts w:hint="eastAsia" w:ascii="仿宋" w:hAnsi="仿宋" w:eastAsia="仿宋" w:cs="仿宋"/>
          <w:highlight w:val="none"/>
          <w:shd w:val="clear" w:color="auto" w:fill="FFFFFF"/>
          <w:lang w:val="zh-CN"/>
        </w:rPr>
        <w:t xml:space="preserve">招标咨询 </w:t>
      </w:r>
      <w:r>
        <w:rPr>
          <w:rFonts w:hint="eastAsia" w:ascii="仿宋" w:hAnsi="仿宋" w:eastAsia="仿宋" w:cs="仿宋"/>
          <w:highlight w:val="none"/>
          <w:shd w:val="clear" w:color="auto" w:fill="FFFFFF"/>
          <w:lang w:val="en-US" w:eastAsia="zh-CN"/>
        </w:rPr>
        <w:t>杨蓓娟</w:t>
      </w:r>
      <w:r>
        <w:rPr>
          <w:rFonts w:hint="eastAsia" w:ascii="仿宋" w:hAnsi="仿宋" w:eastAsia="仿宋" w:cs="仿宋"/>
          <w:highlight w:val="none"/>
          <w:shd w:val="clear" w:color="auto" w:fill="FFFFFF"/>
          <w:lang w:val="zh-CN"/>
        </w:rPr>
        <w:t>电话：0513-86860217-82107</w:t>
      </w:r>
    </w:p>
    <w:p>
      <w:pPr>
        <w:pStyle w:val="11"/>
        <w:widowControl/>
        <w:shd w:val="clear" w:color="auto" w:fill="FFFFFF"/>
        <w:spacing w:beforeAutospacing="0" w:afterAutospacing="0" w:line="360" w:lineRule="auto"/>
        <w:ind w:firstLine="1440" w:firstLineChars="600"/>
        <w:jc w:val="both"/>
        <w:rPr>
          <w:rFonts w:hint="eastAsia" w:ascii="仿宋" w:hAnsi="仿宋" w:eastAsia="仿宋" w:cs="仿宋"/>
          <w:highlight w:val="none"/>
          <w:lang w:eastAsia="zh-CN"/>
        </w:rPr>
      </w:pPr>
      <w:r>
        <w:rPr>
          <w:rFonts w:hint="eastAsia" w:ascii="仿宋" w:hAnsi="仿宋" w:eastAsia="仿宋" w:cs="仿宋"/>
          <w:highlight w:val="none"/>
        </w:rPr>
        <w:t xml:space="preserve">技术咨询 </w:t>
      </w:r>
      <w:r>
        <w:rPr>
          <w:rFonts w:hint="eastAsia" w:ascii="仿宋" w:hAnsi="仿宋" w:eastAsia="仿宋" w:cs="仿宋"/>
          <w:highlight w:val="none"/>
          <w:lang w:val="en-US" w:eastAsia="zh-CN"/>
        </w:rPr>
        <w:t>周  斌</w:t>
      </w:r>
      <w:r>
        <w:rPr>
          <w:rFonts w:hint="eastAsia" w:ascii="仿宋" w:hAnsi="仿宋" w:eastAsia="仿宋" w:cs="仿宋"/>
          <w:highlight w:val="none"/>
        </w:rPr>
        <w:t xml:space="preserve"> 电话：13921610010</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1440" w:firstLineChars="600"/>
        <w:jc w:val="both"/>
        <w:textAlignment w:val="auto"/>
        <w:rPr>
          <w:rFonts w:hint="default" w:ascii="仿宋" w:hAnsi="仿宋" w:eastAsia="仿宋"/>
          <w:sz w:val="24"/>
          <w:highlight w:val="none"/>
          <w:lang w:val="en-US" w:eastAsia="zh-CN"/>
        </w:rPr>
      </w:pPr>
      <w:r>
        <w:rPr>
          <w:rFonts w:hint="eastAsia" w:ascii="仿宋" w:hAnsi="仿宋" w:eastAsia="仿宋"/>
          <w:sz w:val="24"/>
          <w:highlight w:val="none"/>
          <w:lang w:val="zh-CN"/>
        </w:rPr>
        <w:t>采购监督 陈家辉 电话：0513-86</w:t>
      </w:r>
      <w:r>
        <w:rPr>
          <w:rFonts w:hint="eastAsia" w:ascii="仿宋" w:hAnsi="仿宋" w:eastAsia="仿宋"/>
          <w:sz w:val="24"/>
          <w:highlight w:val="none"/>
          <w:lang w:val="en-US" w:eastAsia="zh-CN"/>
        </w:rPr>
        <w:t>860032</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邮</w:t>
      </w:r>
      <w:r>
        <w:rPr>
          <w:rFonts w:hint="eastAsia" w:ascii="仿宋" w:hAnsi="仿宋" w:eastAsia="仿宋" w:cs="仿宋"/>
          <w:highlight w:val="none"/>
          <w:shd w:val="clear" w:color="auto" w:fill="FFFFFF"/>
          <w:lang w:val="en-US" w:eastAsia="zh-CN"/>
        </w:rPr>
        <w:t xml:space="preserve">  </w:t>
      </w:r>
      <w:r>
        <w:rPr>
          <w:rFonts w:hint="eastAsia" w:ascii="仿宋" w:hAnsi="仿宋" w:eastAsia="仿宋" w:cs="仿宋"/>
          <w:highlight w:val="none"/>
          <w:shd w:val="clear" w:color="auto" w:fill="FFFFFF"/>
          <w:lang w:val="zh-CN"/>
        </w:rPr>
        <w:t>箱：</w:t>
      </w:r>
      <w:r>
        <w:rPr>
          <w:rFonts w:hint="eastAsia" w:ascii="仿宋" w:hAnsi="仿宋" w:eastAsia="仿宋" w:cs="仿宋"/>
          <w:color w:val="auto"/>
          <w:highlight w:val="none"/>
          <w:u w:val="none"/>
          <w:shd w:val="clear" w:color="auto" w:fill="FFFFFF"/>
          <w:lang w:val="zh-CN"/>
        </w:rPr>
        <w:t>184154718@qq.com</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地</w:t>
      </w:r>
      <w:r>
        <w:rPr>
          <w:rFonts w:hint="eastAsia" w:ascii="仿宋" w:hAnsi="仿宋" w:eastAsia="仿宋" w:cs="仿宋"/>
          <w:highlight w:val="none"/>
          <w:shd w:val="clear" w:color="auto" w:fill="FFFFFF"/>
          <w:lang w:val="en-US" w:eastAsia="zh-CN"/>
        </w:rPr>
        <w:t xml:space="preserve">  </w:t>
      </w:r>
      <w:r>
        <w:rPr>
          <w:rFonts w:hint="eastAsia" w:ascii="仿宋" w:hAnsi="仿宋" w:eastAsia="仿宋" w:cs="仿宋"/>
          <w:highlight w:val="none"/>
          <w:shd w:val="clear" w:color="auto" w:fill="FFFFFF"/>
          <w:lang w:val="zh-CN"/>
        </w:rPr>
        <w:t>址：江苏省南通市</w:t>
      </w:r>
      <w:r>
        <w:rPr>
          <w:rFonts w:hint="eastAsia" w:ascii="仿宋" w:hAnsi="仿宋" w:eastAsia="仿宋" w:cs="仿宋"/>
          <w:highlight w:val="none"/>
          <w:shd w:val="clear" w:color="auto" w:fill="FFFFFF"/>
          <w:lang w:val="zh-CN" w:eastAsia="zh-CN"/>
        </w:rPr>
        <w:t>兴东国际机场</w:t>
      </w:r>
      <w:r>
        <w:rPr>
          <w:rFonts w:hint="eastAsia" w:ascii="仿宋" w:hAnsi="仿宋" w:eastAsia="仿宋" w:cs="仿宋"/>
          <w:highlight w:val="none"/>
          <w:shd w:val="clear" w:color="auto" w:fill="FFFFFF"/>
          <w:lang w:val="zh-CN"/>
        </w:rPr>
        <w:t>办公楼</w:t>
      </w:r>
      <w:r>
        <w:rPr>
          <w:rFonts w:hint="eastAsia" w:ascii="仿宋" w:hAnsi="仿宋" w:eastAsia="仿宋" w:cs="仿宋"/>
          <w:highlight w:val="none"/>
          <w:shd w:val="clear" w:color="auto" w:fill="FFFFFF"/>
          <w:lang w:val="en-US" w:eastAsia="zh-CN"/>
        </w:rPr>
        <w:t>431</w:t>
      </w:r>
      <w:r>
        <w:rPr>
          <w:rFonts w:hint="eastAsia" w:ascii="仿宋" w:hAnsi="仿宋" w:eastAsia="仿宋" w:cs="仿宋"/>
          <w:highlight w:val="none"/>
          <w:shd w:val="clear" w:color="auto" w:fill="FFFFFF"/>
          <w:lang w:val="zh-CN"/>
        </w:rPr>
        <w:t>室</w:t>
      </w: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rPr>
        <w:t>第二章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投标须知</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一、澄清与修改</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响应供应商应仔细阅读和检查磋商文件的全部内容。如发现缺页或附件不全，应及时向采购人提出，以便补齐。如有疑问，应在开标前以质疑函要求采购人对磋商文件予以澄清。</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如果澄清发出的时间距投标截止时间不足</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日，</w:t>
      </w:r>
      <w:r>
        <w:rPr>
          <w:rFonts w:hint="eastAsia" w:ascii="仿宋" w:hAnsi="仿宋" w:eastAsia="仿宋" w:cs="仿宋"/>
          <w:highlight w:val="none"/>
          <w:shd w:val="clear" w:color="auto" w:fill="FFFFFF"/>
          <w:lang w:val="en-US" w:eastAsia="zh-CN"/>
        </w:rPr>
        <w:t>采购人</w:t>
      </w:r>
      <w:r>
        <w:rPr>
          <w:rFonts w:hint="eastAsia" w:ascii="仿宋" w:hAnsi="仿宋" w:eastAsia="仿宋" w:cs="仿宋"/>
          <w:highlight w:val="none"/>
          <w:shd w:val="clear" w:color="auto" w:fill="FFFFFF"/>
          <w:lang w:val="zh-CN" w:eastAsia="zh-CN"/>
        </w:rPr>
        <w:t>相应延长投标截止时间。</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3、磋商文件的修改和澄清将在南通兴东国际机场官网公布，补充文件将作为磋商文件的组成部分，并对响应供应商具有约束力。</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二、质疑与答复</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供应商认为采购文件使自己的权益受到损害的，可以在开标前，以书面形式向采购人提出质疑；对采购过程提出质疑的，为各采购程序环节结束之日；对中标或者成交结果提出质疑的，为中标或者成交结果公告期限届满之日。</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2、质疑人、</w:t>
      </w:r>
      <w:r>
        <w:rPr>
          <w:rFonts w:hint="eastAsia" w:ascii="仿宋" w:hAnsi="仿宋" w:eastAsia="仿宋" w:cs="仿宋"/>
          <w:highlight w:val="none"/>
          <w:shd w:val="clear" w:color="auto" w:fill="FFFFFF"/>
          <w:lang w:val="zh-CN" w:eastAsia="zh-CN"/>
        </w:rPr>
        <w:t>质疑函应当符合《政府采购质疑和投诉办法》所规定的要求，一次性提出同一环节的质疑，质疑必须以参加投标供应商法定代表人或授权代表（响应文件中所确定的）原件送达的方式提交，未按上述要求提交的质疑函（含传真、电子邮件等）采购人有权不予受理。</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采购人收到质疑函后，将对质疑的形式和内容进行审查，如质疑函内容、格式不符合规定，采购人将告知质疑人进行补正。质疑人应当在法定质疑期限内进行补正并重新提交质疑函，拒不补正或者在法定期限内未重新提交质疑函的，为无效质疑，采购人有权不予受理。</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对于内容、格式符合规定的质疑函，采购人应当在收到投标供应商的书面质疑后</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个工作日内作出答复，并以书面形式通知质疑供应商和其他有关供应商，但答复的内容不得涉及商业秘密。</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三、响应文件</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磋商文件第四章响应文件格式有提供格式的应采用提供的格式编写，未提供格式的响应供应商可自行确定格式。</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响应文件组成</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价格包（一正一副）</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（1）报价单；</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（2）投标函。</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资格审查包（一正一副）</w:t>
      </w:r>
    </w:p>
    <w:p>
      <w:pPr>
        <w:pStyle w:val="11"/>
        <w:widowControl/>
        <w:shd w:val="clear" w:color="auto" w:fill="FFFFFF"/>
        <w:spacing w:beforeAutospacing="0" w:afterAutospacing="0" w:line="360" w:lineRule="auto"/>
        <w:ind w:left="719" w:leftChars="228" w:hanging="240" w:hangingChars="100"/>
        <w:jc w:val="both"/>
        <w:rPr>
          <w:rFonts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）法人代表投标的，提供法定代表人身份证明书和法定代表人身份证</w:t>
      </w:r>
      <w:r>
        <w:rPr>
          <w:rFonts w:hint="eastAsia" w:ascii="仿宋" w:hAnsi="仿宋" w:eastAsia="仿宋" w:cs="仿宋"/>
          <w:highlight w:val="none"/>
          <w:shd w:val="clear" w:color="auto" w:fill="FFFFFF"/>
          <w:lang w:val="en-US" w:eastAsia="zh-CN"/>
        </w:rPr>
        <w:t>复印件</w:t>
      </w: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zh-CN"/>
        </w:rPr>
        <w:t>非法人代表投标：提供法定代表人授权委托书和磋商响应人代表身份证</w:t>
      </w:r>
      <w:r>
        <w:rPr>
          <w:rFonts w:hint="eastAsia" w:ascii="仿宋" w:hAnsi="仿宋" w:eastAsia="仿宋" w:cs="仿宋"/>
          <w:highlight w:val="none"/>
          <w:shd w:val="clear" w:color="auto" w:fill="FFFFFF"/>
        </w:rPr>
        <w:t>复印</w:t>
      </w:r>
      <w:r>
        <w:rPr>
          <w:rFonts w:hint="eastAsia" w:ascii="仿宋" w:hAnsi="仿宋" w:eastAsia="仿宋" w:cs="仿宋"/>
          <w:highlight w:val="none"/>
          <w:shd w:val="clear" w:color="auto" w:fill="FFFFFF"/>
          <w:lang w:val="zh-CN"/>
        </w:rPr>
        <w:t>件。</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）磋商响应人承诺书；</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提供</w:t>
      </w:r>
      <w:r>
        <w:rPr>
          <w:rFonts w:hint="eastAsia" w:ascii="仿宋" w:hAnsi="仿宋" w:eastAsia="仿宋" w:cs="仿宋"/>
          <w:highlight w:val="none"/>
          <w:shd w:val="clear" w:color="auto" w:fill="FFFFFF"/>
          <w:lang w:val="zh-CN" w:eastAsia="zh-CN"/>
        </w:rPr>
        <w:t>第一章</w:t>
      </w:r>
      <w:r>
        <w:rPr>
          <w:rFonts w:hint="eastAsia" w:ascii="仿宋" w:hAnsi="仿宋" w:eastAsia="仿宋" w:cs="仿宋"/>
          <w:highlight w:val="none"/>
          <w:shd w:val="clear" w:color="auto" w:fill="FFFFFF"/>
          <w:lang w:val="en-US" w:eastAsia="zh-CN"/>
        </w:rPr>
        <w:t>采购公告中资格要求中的1-5项所需的材料。</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）响应供应商为响应供应商代表缴纳社保的证明，</w:t>
      </w:r>
      <w:r>
        <w:rPr>
          <w:rFonts w:hint="eastAsia" w:ascii="仿宋" w:hAnsi="仿宋" w:eastAsia="仿宋" w:cs="仿宋"/>
          <w:b w:val="0"/>
          <w:bCs w:val="0"/>
          <w:highlight w:val="none"/>
          <w:shd w:val="clear" w:color="auto" w:fill="FFFFFF"/>
          <w:lang w:eastAsia="zh-CN"/>
        </w:rPr>
        <w:t>提供开标前三个月的缴纳社会保障资金的记录材料</w:t>
      </w:r>
      <w:r>
        <w:rPr>
          <w:rFonts w:hint="eastAsia" w:ascii="仿宋" w:hAnsi="仿宋" w:eastAsia="仿宋" w:cs="仿宋"/>
          <w:highlight w:val="none"/>
          <w:shd w:val="clear" w:color="auto" w:fill="FFFFFF"/>
          <w:lang w:val="zh-CN" w:eastAsia="zh-CN"/>
        </w:rPr>
        <w:t>。法定代表人参加投标的，不用提供其缴纳社保的证明。</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商务技术包（一正一副）</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）技术偏离表；</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）按技术要求所需提供的材料；</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）商务偏离表；</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）按商务要求所需提供的材料；</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）其他磋商文件要求和响应供应商自认为应该提供的材料。</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2、响应文件编制</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的正本和副本均可双面打印，字迹应清晰易于辨认，并在响应文件封面的右上角清楚地注明“正本”或“副本”。正本与副本应分别装订成册（不可散装或有活页），并编制目录及页码，正本和副本有不一致之处，以正本为准。</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）响应文件应用不褪色的</w:t>
      </w:r>
      <w:r>
        <w:rPr>
          <w:rFonts w:hint="eastAsia" w:ascii="仿宋" w:hAnsi="仿宋" w:eastAsia="仿宋" w:cs="仿宋"/>
          <w:highlight w:val="none"/>
          <w:shd w:val="clear" w:color="auto" w:fill="FFFFFF"/>
          <w:lang w:val="en-US" w:eastAsia="zh-CN"/>
        </w:rPr>
        <w:t>A4</w:t>
      </w:r>
      <w:r>
        <w:rPr>
          <w:rFonts w:hint="eastAsia" w:ascii="仿宋" w:hAnsi="仿宋" w:eastAsia="仿宋" w:cs="仿宋"/>
          <w:highlight w:val="none"/>
          <w:shd w:val="clear" w:color="auto" w:fill="FFFFFF"/>
          <w:lang w:val="zh-CN" w:eastAsia="zh-CN"/>
        </w:rPr>
        <w:t>（图纸除外，若页面大于A4，应叠成A4页面大小）材料书写或打印，响应文件副本可为正本（经签字盖章后）的复印件。</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3、响应文件签署</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）响应文件封面或者扉页、投标函及其附录及相应有要求的部位均应加盖单位章并经法定代表人或其授权的代理人签字确认（签字可使用签名章代替）。</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）响应文件应尽量避免涂改、行间插字或删除。如果出现上述情况，改动之处应加盖单位章或由响应供应商的法定代表人或其授权的代理人签字确认。</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、响应文件密封</w:t>
      </w:r>
    </w:p>
    <w:p>
      <w:pPr>
        <w:pStyle w:val="11"/>
        <w:keepNext w:val="0"/>
        <w:keepLines w:val="0"/>
        <w:pageBreakBefore w:val="0"/>
        <w:widowControl/>
        <w:shd w:val="clear" w:color="auto" w:fill="FFFFFF"/>
        <w:tabs>
          <w:tab w:val="left" w:pos="420"/>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）响应文件封套加贴封条，并在封套的封口处加盖响应供应商单位章。</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）响应文件及材料原则上分</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个封套递交，“价格包”、“资格审查包”、“商务技术</w:t>
      </w:r>
      <w:r>
        <w:rPr>
          <w:rFonts w:hint="eastAsia" w:ascii="仿宋" w:hAnsi="仿宋" w:eastAsia="仿宋" w:cs="仿宋"/>
          <w:highlight w:val="none"/>
          <w:shd w:val="clear" w:color="auto" w:fill="FFFFFF"/>
          <w:lang w:val="en-US" w:eastAsia="zh-CN"/>
        </w:rPr>
        <w:t>包</w:t>
      </w:r>
      <w:r>
        <w:rPr>
          <w:rFonts w:hint="eastAsia" w:ascii="仿宋" w:hAnsi="仿宋" w:eastAsia="仿宋" w:cs="仿宋"/>
          <w:highlight w:val="none"/>
          <w:shd w:val="clear" w:color="auto" w:fill="FFFFFF"/>
          <w:lang w:val="zh-CN" w:eastAsia="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、响应文件标记</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响应文件的封套上应写明的其他内容：</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（1）采购人名称、标段项目名称、响应供应商的名称及“价格包”、“资格审查包”、“商务技术</w:t>
      </w:r>
      <w:r>
        <w:rPr>
          <w:rFonts w:hint="eastAsia" w:ascii="仿宋" w:hAnsi="仿宋" w:eastAsia="仿宋" w:cs="仿宋"/>
          <w:highlight w:val="none"/>
          <w:shd w:val="clear" w:color="auto" w:fill="FFFFFF"/>
          <w:lang w:val="en-US" w:eastAsia="zh-CN"/>
        </w:rPr>
        <w:t>包</w:t>
      </w:r>
      <w:r>
        <w:rPr>
          <w:rFonts w:hint="eastAsia" w:ascii="仿宋" w:hAnsi="仿宋" w:eastAsia="仿宋" w:cs="仿宋"/>
          <w:highlight w:val="none"/>
          <w:shd w:val="clear" w:color="auto" w:fill="FFFFFF"/>
          <w:lang w:val="zh-CN" w:eastAsia="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）在年月日时分前（即开标时间）不得开启。</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四、</w:t>
      </w:r>
      <w:r>
        <w:rPr>
          <w:rFonts w:hint="eastAsia" w:ascii="黑体" w:hAnsi="黑体" w:eastAsia="黑体" w:cs="黑体"/>
          <w:b/>
          <w:bCs/>
          <w:highlight w:val="none"/>
          <w:shd w:val="clear" w:color="auto" w:fill="FFFFFF"/>
          <w:lang w:val="zh-CN" w:eastAsia="zh-CN"/>
        </w:rPr>
        <w:t>投标报价</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投标有效期：递交响应文件截止之日起的</w:t>
      </w:r>
      <w:r>
        <w:rPr>
          <w:rFonts w:hint="eastAsia" w:ascii="仿宋" w:hAnsi="仿宋" w:eastAsia="仿宋" w:cs="仿宋"/>
          <w:highlight w:val="none"/>
          <w:shd w:val="clear" w:color="auto" w:fill="FFFFFF"/>
          <w:lang w:val="en-US" w:eastAsia="zh-CN"/>
        </w:rPr>
        <w:t>60</w:t>
      </w:r>
      <w:r>
        <w:rPr>
          <w:rFonts w:hint="eastAsia" w:ascii="仿宋" w:hAnsi="仿宋" w:eastAsia="仿宋" w:cs="仿宋"/>
          <w:highlight w:val="none"/>
          <w:shd w:val="clear" w:color="auto" w:fill="FFFFFF"/>
          <w:lang w:val="zh-CN" w:eastAsia="zh-CN"/>
        </w:rPr>
        <w:t>天；</w:t>
      </w:r>
    </w:p>
    <w:p>
      <w:pPr>
        <w:pStyle w:val="11"/>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2、</w:t>
      </w:r>
      <w:r>
        <w:rPr>
          <w:rFonts w:hint="eastAsia" w:ascii="仿宋" w:hAnsi="仿宋" w:eastAsia="仿宋" w:cs="仿宋"/>
          <w:highlight w:val="none"/>
          <w:shd w:val="clear" w:color="auto" w:fill="FFFFFF"/>
          <w:lang w:val="zh-CN"/>
        </w:rPr>
        <w:t>最高含税限价为：</w:t>
      </w:r>
      <w:r>
        <w:rPr>
          <w:rFonts w:hint="eastAsia" w:ascii="仿宋" w:hAnsi="仿宋" w:eastAsia="仿宋" w:cs="仿宋"/>
          <w:highlight w:val="none"/>
          <w:shd w:val="clear" w:color="auto" w:fill="FFFFFF"/>
        </w:rPr>
        <w:t>人民币</w:t>
      </w:r>
      <w:r>
        <w:rPr>
          <w:rFonts w:hint="eastAsia" w:ascii="仿宋" w:hAnsi="仿宋" w:eastAsia="仿宋" w:cs="仿宋"/>
          <w:highlight w:val="none"/>
          <w:shd w:val="clear" w:color="auto" w:fill="FFFFFF"/>
          <w:lang w:val="en-US" w:eastAsia="zh-CN"/>
        </w:rPr>
        <w:t>叁拾陆万陆仟伍佰元</w:t>
      </w:r>
      <w:r>
        <w:rPr>
          <w:rFonts w:hint="eastAsia" w:ascii="仿宋" w:hAnsi="仿宋" w:eastAsia="仿宋" w:cs="仿宋"/>
          <w:highlight w:val="none"/>
          <w:shd w:val="clear" w:color="auto" w:fill="FFFFFF"/>
          <w:lang w:eastAsia="zh-CN"/>
        </w:rPr>
        <w:t>整（</w:t>
      </w:r>
      <w:r>
        <w:rPr>
          <w:rFonts w:hint="eastAsia" w:ascii="仿宋" w:hAnsi="仿宋" w:eastAsia="仿宋" w:cs="仿宋"/>
          <w:highlight w:val="none"/>
          <w:shd w:val="clear" w:color="auto" w:fill="FFFFFF"/>
          <w:lang w:val="zh-CN"/>
        </w:rPr>
        <w:t>￥</w:t>
      </w:r>
      <w:r>
        <w:rPr>
          <w:rFonts w:hint="eastAsia" w:ascii="仿宋" w:hAnsi="仿宋" w:eastAsia="仿宋" w:cs="仿宋"/>
          <w:highlight w:val="none"/>
          <w:shd w:val="clear" w:color="auto" w:fill="FFFFFF"/>
          <w:lang w:val="en-US" w:eastAsia="zh-CN"/>
        </w:rPr>
        <w:t>366500</w:t>
      </w:r>
      <w:r>
        <w:rPr>
          <w:rFonts w:hint="eastAsia" w:ascii="仿宋" w:hAnsi="仿宋" w:eastAsia="仿宋" w:cs="仿宋"/>
          <w:highlight w:val="none"/>
          <w:shd w:val="clear" w:color="auto" w:fill="FFFFFF"/>
          <w:lang w:val="zh-CN"/>
        </w:rPr>
        <w:t>.00</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3、</w:t>
      </w:r>
      <w:r>
        <w:rPr>
          <w:rFonts w:hint="eastAsia" w:ascii="仿宋" w:hAnsi="仿宋" w:eastAsia="仿宋" w:cs="仿宋"/>
          <w:highlight w:val="none"/>
          <w:shd w:val="clear" w:color="auto" w:fill="FFFFFF"/>
          <w:lang w:val="zh-CN"/>
        </w:rPr>
        <w:t>磋商响应人对本次</w:t>
      </w:r>
      <w:r>
        <w:rPr>
          <w:rFonts w:hint="eastAsia" w:ascii="仿宋" w:hAnsi="仿宋" w:eastAsia="仿宋" w:cs="仿宋"/>
          <w:highlight w:val="none"/>
          <w:shd w:val="clear" w:color="auto" w:fill="FFFFFF"/>
          <w:lang w:val="en-US" w:eastAsia="zh-CN"/>
        </w:rPr>
        <w:t>综合安防管理平台升级</w:t>
      </w:r>
      <w:r>
        <w:rPr>
          <w:rFonts w:hint="eastAsia" w:ascii="仿宋" w:hAnsi="仿宋" w:eastAsia="仿宋" w:cs="仿宋"/>
          <w:highlight w:val="none"/>
          <w:shd w:val="clear" w:color="auto" w:fill="FFFFFF"/>
          <w:lang w:val="zh-CN"/>
        </w:rPr>
        <w:t>采购进行报价，报价包含与项目相关的所有费用，包括但不限于材料、包装物、运输、辅材、税款、检测、调试等。</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五、开标程序</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开标截止时间后公布递交响应文件的响应供应商名称；</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rPr>
        <w:t>评委对所有响应文件的密封、标记等情况进行核查，记录在案，并签字确认；</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评标委员对响应供应商资格、响应性进行审查，对合格响应供应商的响应文件进行技术评分；</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4、评标委员会集中与响应供应商分别进行磋商，磋商内容以电话形式同时通知所有参加谈判的响应供应商，响应供应商就磋商结果确认；</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按照宣布的开标顺序当众开标，公布最终有效响应供应商名称、标段名称、投标报价及其他内容，并记录在案；</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6、最终有效响应供应商进行电话二次报价；</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公布采购结果。</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若响应供应商现场未提出异议，则认为响应供应商已确认宣读的内容。</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六、</w:t>
      </w:r>
      <w:r>
        <w:rPr>
          <w:rFonts w:hint="eastAsia" w:ascii="黑体" w:hAnsi="黑体" w:eastAsia="黑体" w:cs="黑体"/>
          <w:b/>
          <w:bCs/>
          <w:highlight w:val="none"/>
          <w:shd w:val="clear" w:color="auto" w:fill="FFFFFF"/>
          <w:lang w:val="zh-CN" w:eastAsia="zh-CN"/>
        </w:rPr>
        <w:t>评标方法</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以综合评分法评标。</w:t>
      </w:r>
    </w:p>
    <w:tbl>
      <w:tblPr>
        <w:tblStyle w:val="12"/>
        <w:tblW w:w="95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615"/>
        <w:gridCol w:w="2679"/>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条款内容</w:t>
            </w:r>
          </w:p>
        </w:tc>
        <w:tc>
          <w:tcPr>
            <w:tcW w:w="7027" w:type="dxa"/>
            <w:gridSpan w:val="3"/>
            <w:noWrap w:val="0"/>
            <w:vAlign w:val="top"/>
          </w:tcPr>
          <w:p>
            <w:pPr>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vMerge w:val="restart"/>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分值构成(总分100 分)</w:t>
            </w:r>
          </w:p>
        </w:tc>
        <w:tc>
          <w:tcPr>
            <w:tcW w:w="3294" w:type="dxa"/>
            <w:gridSpan w:val="2"/>
            <w:noWrap w:val="0"/>
            <w:vAlign w:val="top"/>
          </w:tcPr>
          <w:p>
            <w:pPr>
              <w:rPr>
                <w:rFonts w:hint="eastAsia" w:ascii="仿宋" w:hAnsi="仿宋" w:eastAsia="仿宋" w:cs="仿宋"/>
                <w:sz w:val="24"/>
                <w:szCs w:val="24"/>
                <w:highlight w:val="none"/>
              </w:rPr>
            </w:pPr>
            <w:r>
              <w:rPr>
                <w:rFonts w:hint="eastAsia" w:ascii="仿宋" w:hAnsi="仿宋" w:eastAsia="仿宋" w:cs="仿宋"/>
                <w:kern w:val="0"/>
                <w:position w:val="-2"/>
                <w:sz w:val="24"/>
                <w:szCs w:val="24"/>
                <w:highlight w:val="none"/>
              </w:rPr>
              <w:t>评分因素</w:t>
            </w:r>
          </w:p>
        </w:tc>
        <w:tc>
          <w:tcPr>
            <w:tcW w:w="3733" w:type="dxa"/>
            <w:noWrap w:val="0"/>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vMerge w:val="continue"/>
            <w:noWrap w:val="0"/>
            <w:vAlign w:val="center"/>
          </w:tcPr>
          <w:p>
            <w:pPr>
              <w:jc w:val="center"/>
              <w:rPr>
                <w:rFonts w:hint="eastAsia" w:ascii="仿宋" w:hAnsi="仿宋" w:eastAsia="仿宋" w:cs="仿宋"/>
                <w:sz w:val="24"/>
                <w:szCs w:val="24"/>
                <w:highlight w:val="none"/>
              </w:rPr>
            </w:pPr>
          </w:p>
        </w:tc>
        <w:tc>
          <w:tcPr>
            <w:tcW w:w="3294" w:type="dxa"/>
            <w:gridSpan w:val="2"/>
            <w:noWrap w:val="0"/>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投标价格</w:t>
            </w:r>
          </w:p>
        </w:tc>
        <w:tc>
          <w:tcPr>
            <w:tcW w:w="3733" w:type="dxa"/>
            <w:noWrap w:val="0"/>
            <w:vAlign w:val="top"/>
          </w:tcPr>
          <w:p>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vMerge w:val="continue"/>
            <w:noWrap w:val="0"/>
            <w:vAlign w:val="center"/>
          </w:tcPr>
          <w:p>
            <w:pPr>
              <w:jc w:val="center"/>
              <w:rPr>
                <w:rFonts w:hint="eastAsia" w:ascii="仿宋" w:hAnsi="仿宋" w:eastAsia="仿宋" w:cs="仿宋"/>
                <w:sz w:val="24"/>
                <w:szCs w:val="24"/>
                <w:highlight w:val="none"/>
              </w:rPr>
            </w:pPr>
          </w:p>
        </w:tc>
        <w:tc>
          <w:tcPr>
            <w:tcW w:w="3294" w:type="dxa"/>
            <w:gridSpan w:val="2"/>
            <w:noWrap w:val="0"/>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商务技术</w:t>
            </w:r>
            <w:r>
              <w:rPr>
                <w:rFonts w:hint="eastAsia" w:ascii="仿宋" w:hAnsi="仿宋" w:eastAsia="仿宋" w:cs="仿宋"/>
                <w:sz w:val="24"/>
                <w:szCs w:val="24"/>
                <w:highlight w:val="none"/>
              </w:rPr>
              <w:t>响应</w:t>
            </w:r>
          </w:p>
        </w:tc>
        <w:tc>
          <w:tcPr>
            <w:tcW w:w="3733" w:type="dxa"/>
            <w:noWrap w:val="0"/>
            <w:vAlign w:val="top"/>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评标基准价计算方法</w:t>
            </w:r>
          </w:p>
        </w:tc>
        <w:tc>
          <w:tcPr>
            <w:tcW w:w="7027" w:type="dxa"/>
            <w:gridSpan w:val="3"/>
            <w:noWrap w:val="0"/>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评标价的计算步骤：</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（1）评标价的确定：评标价=投标报价</w:t>
            </w:r>
            <w:r>
              <w:rPr>
                <w:rFonts w:hint="eastAsia" w:ascii="仿宋" w:hAnsi="仿宋" w:eastAsia="仿宋" w:cs="仿宋"/>
                <w:sz w:val="24"/>
                <w:szCs w:val="24"/>
                <w:highlight w:val="none"/>
                <w:lang w:eastAsia="zh-CN"/>
              </w:rPr>
              <w:t>（不含税）</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（2）有效评标价的确定所有通过评审的投标文件的评标价</w:t>
            </w:r>
            <w:r>
              <w:rPr>
                <w:rFonts w:hint="eastAsia" w:ascii="仿宋" w:hAnsi="仿宋" w:eastAsia="仿宋" w:cs="仿宋"/>
                <w:sz w:val="24"/>
                <w:szCs w:val="24"/>
                <w:highlight w:val="none"/>
                <w:lang w:eastAsia="zh-CN"/>
              </w:rPr>
              <w:t>（不含税）</w:t>
            </w:r>
            <w:r>
              <w:rPr>
                <w:rFonts w:hint="eastAsia" w:ascii="仿宋" w:hAnsi="仿宋" w:eastAsia="仿宋" w:cs="仿宋"/>
                <w:sz w:val="24"/>
                <w:szCs w:val="24"/>
                <w:highlight w:val="none"/>
              </w:rPr>
              <w:t>为有效评标价</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评标基准</w:t>
            </w:r>
            <w:r>
              <w:rPr>
                <w:rFonts w:hint="eastAsia" w:ascii="仿宋" w:hAnsi="仿宋" w:eastAsia="仿宋" w:cs="仿宋"/>
                <w:sz w:val="24"/>
                <w:szCs w:val="24"/>
                <w:highlight w:val="none"/>
              </w:rPr>
              <w:t>价的计算：所有有效评标价</w:t>
            </w:r>
            <w:r>
              <w:rPr>
                <w:rFonts w:hint="eastAsia" w:ascii="仿宋" w:hAnsi="仿宋" w:eastAsia="仿宋" w:cs="仿宋"/>
                <w:sz w:val="24"/>
                <w:szCs w:val="24"/>
                <w:highlight w:val="none"/>
                <w:lang w:eastAsia="zh-CN"/>
              </w:rPr>
              <w:t>最低报价</w:t>
            </w:r>
            <w:r>
              <w:rPr>
                <w:rFonts w:hint="eastAsia" w:ascii="仿宋" w:hAnsi="仿宋" w:eastAsia="仿宋" w:cs="仿宋"/>
                <w:sz w:val="24"/>
                <w:szCs w:val="24"/>
                <w:highlight w:val="none"/>
              </w:rPr>
              <w:t>即为有效评标</w:t>
            </w:r>
            <w:r>
              <w:rPr>
                <w:rFonts w:hint="eastAsia" w:ascii="仿宋" w:hAnsi="仿宋" w:eastAsia="仿宋" w:cs="仿宋"/>
                <w:sz w:val="24"/>
                <w:szCs w:val="24"/>
                <w:highlight w:val="none"/>
                <w:lang w:eastAsia="zh-CN"/>
              </w:rPr>
              <w:t>基准</w:t>
            </w:r>
            <w:r>
              <w:rPr>
                <w:rFonts w:hint="eastAsia" w:ascii="仿宋" w:hAnsi="仿宋" w:eastAsia="仿宋" w:cs="仿宋"/>
                <w:sz w:val="24"/>
                <w:szCs w:val="24"/>
                <w:highlight w:val="none"/>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rPr>
              <w:t>投标报</w:t>
            </w:r>
            <w:r>
              <w:rPr>
                <w:rFonts w:hint="eastAsia" w:ascii="仿宋" w:hAnsi="仿宋" w:eastAsia="仿宋" w:cs="仿宋"/>
                <w:spacing w:val="-1"/>
                <w:kern w:val="0"/>
                <w:sz w:val="24"/>
                <w:szCs w:val="24"/>
                <w:highlight w:val="none"/>
              </w:rPr>
              <w:t>价偏</w:t>
            </w:r>
            <w:r>
              <w:rPr>
                <w:rFonts w:hint="eastAsia" w:ascii="仿宋" w:hAnsi="仿宋" w:eastAsia="仿宋" w:cs="仿宋"/>
                <w:kern w:val="0"/>
                <w:sz w:val="24"/>
                <w:szCs w:val="24"/>
                <w:highlight w:val="none"/>
              </w:rPr>
              <w:t>差率计算</w:t>
            </w:r>
            <w:r>
              <w:rPr>
                <w:rFonts w:hint="eastAsia" w:ascii="仿宋" w:hAnsi="仿宋" w:eastAsia="仿宋" w:cs="仿宋"/>
                <w:kern w:val="0"/>
                <w:sz w:val="24"/>
                <w:szCs w:val="24"/>
                <w:highlight w:val="none"/>
                <w:lang w:eastAsia="zh-CN"/>
              </w:rPr>
              <w:t>方法</w:t>
            </w:r>
          </w:p>
        </w:tc>
        <w:tc>
          <w:tcPr>
            <w:tcW w:w="7027" w:type="dxa"/>
            <w:gridSpan w:val="3"/>
            <w:noWrap w:val="0"/>
            <w:vAlign w:val="center"/>
          </w:tcPr>
          <w:p>
            <w:pPr>
              <w:numPr>
                <w:ilvl w:val="0"/>
                <w:numId w:val="0"/>
              </w:num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最低价：</w:t>
            </w:r>
            <w:r>
              <w:rPr>
                <w:rFonts w:hint="eastAsia" w:ascii="仿宋" w:hAnsi="仿宋" w:eastAsia="仿宋" w:cs="仿宋"/>
                <w:sz w:val="24"/>
                <w:szCs w:val="24"/>
                <w:highlight w:val="none"/>
              </w:rPr>
              <w:t>偏差率=100%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评标基准价/</w:t>
            </w:r>
            <w:r>
              <w:rPr>
                <w:rFonts w:hint="eastAsia" w:ascii="仿宋" w:hAnsi="仿宋" w:eastAsia="仿宋" w:cs="仿宋"/>
                <w:sz w:val="24"/>
                <w:szCs w:val="24"/>
                <w:highlight w:val="none"/>
                <w:lang w:eastAsia="zh-CN"/>
              </w:rPr>
              <w:t>磋商响应人评标</w:t>
            </w:r>
            <w:r>
              <w:rPr>
                <w:rFonts w:hint="eastAsia" w:ascii="仿宋" w:hAnsi="仿宋" w:eastAsia="仿宋" w:cs="仿宋"/>
                <w:sz w:val="24"/>
                <w:szCs w:val="24"/>
                <w:highlight w:val="none"/>
              </w:rPr>
              <w:t>价</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5" w:type="dxa"/>
            <w:gridSpan w:val="4"/>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615"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分值</w:t>
            </w:r>
          </w:p>
        </w:tc>
        <w:tc>
          <w:tcPr>
            <w:tcW w:w="6412" w:type="dxa"/>
            <w:gridSpan w:val="2"/>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spacing w:line="240" w:lineRule="atLeas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评标价</w:t>
            </w:r>
          </w:p>
        </w:tc>
        <w:tc>
          <w:tcPr>
            <w:tcW w:w="615" w:type="dxa"/>
            <w:noWrap w:val="0"/>
            <w:vAlign w:val="center"/>
          </w:tcPr>
          <w:p>
            <w:pPr>
              <w:spacing w:line="240" w:lineRule="atLeast"/>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80</w:t>
            </w:r>
            <w:r>
              <w:rPr>
                <w:rFonts w:hint="eastAsia" w:ascii="仿宋" w:hAnsi="仿宋" w:eastAsia="仿宋" w:cs="仿宋"/>
                <w:sz w:val="24"/>
                <w:szCs w:val="24"/>
                <w:highlight w:val="none"/>
              </w:rPr>
              <w:t>分</w:t>
            </w:r>
          </w:p>
        </w:tc>
        <w:tc>
          <w:tcPr>
            <w:tcW w:w="6412" w:type="dxa"/>
            <w:gridSpan w:val="2"/>
            <w:noWrap w:val="0"/>
            <w:vAlign w:val="center"/>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最低价：以评标基准价为基准分</w:t>
            </w:r>
            <w:r>
              <w:rPr>
                <w:rFonts w:hint="eastAsia" w:ascii="仿宋" w:hAnsi="仿宋" w:eastAsia="仿宋" w:cs="仿宋"/>
                <w:sz w:val="24"/>
                <w:szCs w:val="24"/>
                <w:highlight w:val="none"/>
                <w:lang w:val="en-US" w:eastAsia="zh-CN"/>
              </w:rPr>
              <w:t>80分，投标单位的报价得分</w:t>
            </w:r>
            <w:r>
              <w:rPr>
                <w:rFonts w:hint="eastAsia" w:ascii="仿宋" w:hAnsi="仿宋" w:eastAsia="仿宋" w:cs="仿宋"/>
                <w:sz w:val="24"/>
                <w:szCs w:val="24"/>
                <w:highlight w:val="none"/>
              </w:rPr>
              <w:t>（报价得分值保留二位小数，最小计分单位为0.01分）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评标基准价/</w:t>
            </w:r>
            <w:r>
              <w:rPr>
                <w:rFonts w:hint="eastAsia" w:ascii="仿宋" w:hAnsi="仿宋" w:eastAsia="仿宋" w:cs="仿宋"/>
                <w:sz w:val="24"/>
                <w:szCs w:val="24"/>
                <w:highlight w:val="none"/>
                <w:lang w:eastAsia="zh-CN"/>
              </w:rPr>
              <w:t>磋商响应人评标</w:t>
            </w:r>
            <w:r>
              <w:rPr>
                <w:rFonts w:hint="eastAsia" w:ascii="仿宋" w:hAnsi="仿宋" w:eastAsia="仿宋" w:cs="仿宋"/>
                <w:sz w:val="24"/>
                <w:szCs w:val="24"/>
                <w:highlight w:val="none"/>
              </w:rPr>
              <w:t>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80</w:t>
            </w:r>
            <w:r>
              <w:rPr>
                <w:rFonts w:hint="eastAsia" w:ascii="仿宋" w:hAnsi="仿宋" w:eastAsia="仿宋" w:cs="仿宋"/>
                <w:sz w:val="24"/>
                <w:szCs w:val="24"/>
                <w:highlight w:val="none"/>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8" w:type="dxa"/>
            <w:noWrap w:val="0"/>
            <w:vAlign w:val="center"/>
          </w:tcPr>
          <w:p>
            <w:pPr>
              <w:spacing w:line="240" w:lineRule="atLeast"/>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技术要求响应</w:t>
            </w:r>
          </w:p>
        </w:tc>
        <w:tc>
          <w:tcPr>
            <w:tcW w:w="615" w:type="dxa"/>
            <w:noWrap w:val="0"/>
            <w:vAlign w:val="center"/>
          </w:tcPr>
          <w:p>
            <w:pPr>
              <w:jc w:val="left"/>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12</w:t>
            </w:r>
          </w:p>
        </w:tc>
        <w:tc>
          <w:tcPr>
            <w:tcW w:w="6412" w:type="dxa"/>
            <w:gridSpan w:val="2"/>
            <w:noWrap w:val="0"/>
            <w:vAlign w:val="top"/>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1、磋商响应人对招标文件第三章先项目需求，第二节技术要求（采购清单及参数要求、执行标准、安全要求）未标注“</w:t>
            </w:r>
            <w:r>
              <w:rPr>
                <w:rFonts w:hint="eastAsia" w:ascii="仿宋" w:hAnsi="仿宋" w:eastAsia="仿宋" w:cs="仿宋"/>
                <w:b w:val="0"/>
                <w:bCs w:val="0"/>
                <w:sz w:val="24"/>
                <w:szCs w:val="24"/>
                <w:highlight w:val="none"/>
                <w:shd w:val="clear" w:color="auto" w:fill="FFFFFF"/>
                <w:lang w:val="en-US" w:eastAsia="zh-CN"/>
              </w:rPr>
              <w:t>★</w:t>
            </w:r>
            <w:r>
              <w:rPr>
                <w:rFonts w:hint="eastAsia" w:ascii="仿宋" w:hAnsi="仿宋" w:eastAsia="仿宋" w:cs="仿宋"/>
                <w:sz w:val="24"/>
                <w:szCs w:val="24"/>
                <w:highlight w:val="none"/>
                <w:lang w:val="en-US" w:eastAsia="zh-CN"/>
              </w:rPr>
              <w:t>”条款进行逐条响应（标注“</w:t>
            </w:r>
            <w:r>
              <w:rPr>
                <w:rFonts w:hint="eastAsia" w:ascii="仿宋" w:hAnsi="仿宋" w:eastAsia="仿宋" w:cs="仿宋"/>
                <w:b w:val="0"/>
                <w:bCs w:val="0"/>
                <w:sz w:val="24"/>
                <w:szCs w:val="24"/>
                <w:highlight w:val="none"/>
                <w:shd w:val="clear" w:color="auto" w:fill="FFFFFF"/>
                <w:lang w:val="en-US" w:eastAsia="zh-CN"/>
              </w:rPr>
              <w:t>★</w:t>
            </w:r>
            <w:r>
              <w:rPr>
                <w:rFonts w:hint="eastAsia" w:ascii="仿宋" w:hAnsi="仿宋" w:eastAsia="仿宋" w:cs="仿宋"/>
                <w:sz w:val="24"/>
                <w:szCs w:val="24"/>
                <w:highlight w:val="none"/>
                <w:lang w:val="en-US" w:eastAsia="zh-CN"/>
              </w:rPr>
              <w:t>”条款不接受负偏离），每一项负偏离扣1分</w:t>
            </w:r>
            <w:r>
              <w:rPr>
                <w:rFonts w:hint="eastAsia" w:eastAsia="仿宋"/>
                <w:sz w:val="24"/>
                <w:szCs w:val="24"/>
                <w:highlight w:val="none"/>
                <w:lang w:eastAsia="zh-CN"/>
              </w:rPr>
              <w:t>（</w:t>
            </w:r>
            <w:r>
              <w:rPr>
                <w:rFonts w:hint="eastAsia" w:eastAsia="仿宋"/>
                <w:sz w:val="24"/>
                <w:szCs w:val="24"/>
                <w:highlight w:val="none"/>
                <w:lang w:val="en-US" w:eastAsia="zh-CN"/>
              </w:rPr>
              <w:t>提供对应的技术证明文件</w:t>
            </w:r>
            <w:r>
              <w:rPr>
                <w:rFonts w:hint="eastAsia" w:eastAsia="仿宋"/>
                <w:sz w:val="24"/>
                <w:szCs w:val="24"/>
                <w:highlight w:val="none"/>
                <w:lang w:eastAsia="zh-CN"/>
              </w:rPr>
              <w:t>）</w:t>
            </w:r>
            <w:r>
              <w:rPr>
                <w:rFonts w:hint="eastAsia" w:ascii="仿宋" w:hAnsi="仿宋" w:eastAsia="仿宋" w:cs="仿宋"/>
                <w:sz w:val="24"/>
                <w:szCs w:val="24"/>
                <w:highlight w:val="none"/>
                <w:lang w:val="en-US" w:eastAsia="zh-CN"/>
              </w:rPr>
              <w:t>，由评委进行酌情打分，扣完为止。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488" w:type="dxa"/>
            <w:noWrap w:val="0"/>
            <w:vAlign w:val="center"/>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磋商响应人业绩</w:t>
            </w:r>
          </w:p>
        </w:tc>
        <w:tc>
          <w:tcPr>
            <w:tcW w:w="615" w:type="dxa"/>
            <w:noWrap w:val="0"/>
            <w:vAlign w:val="center"/>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2分</w:t>
            </w:r>
          </w:p>
        </w:tc>
        <w:tc>
          <w:tcPr>
            <w:tcW w:w="6412" w:type="dxa"/>
            <w:gridSpan w:val="2"/>
            <w:noWrap w:val="0"/>
            <w:vAlign w:val="top"/>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响应人在2021年1月1日至今，有合同额不低于50万元的国产监控系统销售或安防管理平台国产化升级业绩案例（提供合同及发票复印件加盖公章），提供一个得1分，最高1分；有合同额不低于50万元的，提供一个得2分，最高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增值服务</w:t>
            </w:r>
          </w:p>
        </w:tc>
        <w:tc>
          <w:tcPr>
            <w:tcW w:w="615" w:type="dxa"/>
            <w:noWrap w:val="0"/>
            <w:vAlign w:val="center"/>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c>
          <w:tcPr>
            <w:tcW w:w="6412" w:type="dxa"/>
            <w:gridSpan w:val="2"/>
            <w:noWrap w:val="0"/>
            <w:vAlign w:val="top"/>
          </w:tcPr>
          <w:p>
            <w:pPr>
              <w:pStyle w:val="2"/>
              <w:numPr>
                <w:ilvl w:val="0"/>
                <w:numId w:val="0"/>
              </w:numPr>
              <w:rPr>
                <w:rFonts w:hint="default"/>
                <w:highlight w:val="none"/>
                <w:lang w:val="en-US" w:eastAsia="zh-CN"/>
              </w:rPr>
            </w:pPr>
            <w:r>
              <w:rPr>
                <w:rFonts w:hint="eastAsia" w:ascii="仿宋" w:hAnsi="仿宋" w:eastAsia="仿宋" w:cs="仿宋"/>
                <w:sz w:val="24"/>
                <w:szCs w:val="24"/>
                <w:highlight w:val="none"/>
                <w:lang w:val="en-US" w:eastAsia="zh-CN"/>
              </w:rPr>
              <w:t>1、售后质保时间不低于3年，每延长一年得2分，满分6分。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488" w:type="dxa"/>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7027" w:type="dxa"/>
            <w:gridSpan w:val="3"/>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1、技术响应部分最小计分单位为0.1分。</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2、评标委员会成员评审计分工作实行实名制。将所有评标委员会成员评分的算术平均值作为</w:t>
            </w:r>
            <w:r>
              <w:rPr>
                <w:rFonts w:hint="eastAsia" w:ascii="仿宋" w:hAnsi="仿宋" w:eastAsia="仿宋" w:cs="仿宋"/>
                <w:sz w:val="24"/>
                <w:szCs w:val="24"/>
                <w:highlight w:val="none"/>
                <w:lang w:eastAsia="zh-CN"/>
              </w:rPr>
              <w:t>磋商响应人</w:t>
            </w:r>
            <w:r>
              <w:rPr>
                <w:rFonts w:hint="eastAsia" w:ascii="仿宋" w:hAnsi="仿宋" w:eastAsia="仿宋" w:cs="仿宋"/>
                <w:sz w:val="24"/>
                <w:szCs w:val="24"/>
                <w:highlight w:val="none"/>
              </w:rPr>
              <w:t>的综合得分，评分分值计算保留小数点后两位，小数点后第三位“四舍五入”；评标委员会按每个</w:t>
            </w:r>
            <w:r>
              <w:rPr>
                <w:rFonts w:hint="eastAsia" w:ascii="仿宋" w:hAnsi="仿宋" w:eastAsia="仿宋" w:cs="仿宋"/>
                <w:sz w:val="24"/>
                <w:szCs w:val="24"/>
                <w:highlight w:val="none"/>
                <w:lang w:eastAsia="zh-CN"/>
              </w:rPr>
              <w:t>磋商响应人</w:t>
            </w:r>
            <w:r>
              <w:rPr>
                <w:rFonts w:hint="eastAsia" w:ascii="仿宋" w:hAnsi="仿宋" w:eastAsia="仿宋" w:cs="仿宋"/>
                <w:sz w:val="24"/>
                <w:szCs w:val="24"/>
                <w:highlight w:val="none"/>
              </w:rPr>
              <w:t>的综合得分从高到低进行排序，并据此推荐中标候选人。</w:t>
            </w:r>
          </w:p>
        </w:tc>
      </w:tr>
    </w:tbl>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七、</w:t>
      </w:r>
      <w:r>
        <w:rPr>
          <w:rFonts w:hint="eastAsia" w:ascii="黑体" w:hAnsi="黑体" w:eastAsia="黑体" w:cs="黑体"/>
          <w:b/>
          <w:bCs/>
          <w:highlight w:val="none"/>
          <w:shd w:val="clear" w:color="auto" w:fill="FFFFFF"/>
          <w:lang w:val="zh-CN" w:eastAsia="zh-CN"/>
        </w:rPr>
        <w:t>合同授予</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定标方式</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（1）评标委员会提出的书面报告，按得分由高到低顺序推荐中标候选人，采购人根据得分第一的确定为中标人。</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如果得分第一的中标候选人放弃中标、因不可抗力提出不能履行合同或者磋商文件规定应当提交履约担保而在规定期限未能提交的，采购人将依法确定得分第二的中标候选人为中标人，依此类推，当所有中标候选人因上述原因不能签订合同的，采购人将依法重新招标。</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中标公示</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rPr>
        <w:t>在南通兴东机场官网上公布采购结果</w:t>
      </w:r>
      <w:r>
        <w:rPr>
          <w:rFonts w:hint="eastAsia" w:ascii="仿宋" w:hAnsi="仿宋" w:eastAsia="仿宋" w:cs="仿宋"/>
          <w:highlight w:val="none"/>
          <w:shd w:val="clear" w:color="auto" w:fill="FFFFFF"/>
          <w:lang w:val="zh-CN" w:eastAsia="zh-CN"/>
        </w:rPr>
        <w:t>，公示期为3个工作日。</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履约担保</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在签订合同前，中标人应向采购人提交履约金，中标人不能提交履约担保的，视为放弃中标。给采购人造成损失的，中标人还应当予以赔偿。履约金在合同履行完成后无息退还。</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签订合同</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中标人应当自中标通知书发出之日起30天内，根据磋商文件和中标人的响应文件与采购人订立书面合同。中标人无正当理由拒签合同的，采购人取消其中标资格。给采购人造成的损失，中标人还应当予以赔偿。</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八、无效投标、废标、</w:t>
      </w:r>
      <w:r>
        <w:rPr>
          <w:rFonts w:hint="eastAsia" w:ascii="黑体" w:hAnsi="黑体" w:eastAsia="黑体" w:cs="黑体"/>
          <w:b/>
          <w:bCs/>
          <w:highlight w:val="none"/>
          <w:shd w:val="clear" w:color="auto" w:fill="FFFFFF"/>
          <w:lang w:val="zh-CN" w:eastAsia="zh-CN"/>
        </w:rPr>
        <w:t>重新招标和不再招标</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无效投标</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）响应文件未按磋商文件要求签署、盖章的；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）响应供应商在报价时采用选择性报价；</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）不具备磋商文件中规定的资格要求的；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）报价超过磋商文件中规定的预算金额或者最高限价的；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）响应文件含有采购人不能接受的附加条件的;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6</w:t>
      </w:r>
      <w:r>
        <w:rPr>
          <w:rFonts w:hint="eastAsia" w:ascii="仿宋" w:hAnsi="仿宋" w:eastAsia="仿宋" w:cs="仿宋"/>
          <w:highlight w:val="none"/>
          <w:shd w:val="clear" w:color="auto" w:fill="FFFFFF"/>
          <w:lang w:val="zh-CN" w:eastAsia="zh-CN"/>
        </w:rPr>
        <w:t>）未通过符合性检查的；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）不符合磋商文件中规定的其他实质性要求和条件的、</w:t>
      </w:r>
      <w:r>
        <w:rPr>
          <w:rFonts w:hint="eastAsia" w:ascii="仿宋" w:hAnsi="仿宋" w:eastAsia="仿宋" w:cs="仿宋"/>
          <w:highlight w:val="none"/>
          <w:shd w:val="clear" w:color="auto" w:fill="FFFFFF"/>
          <w:lang w:val="en-US" w:eastAsia="zh-CN"/>
        </w:rPr>
        <w:t>加</w:t>
      </w: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条款负偏离的</w:t>
      </w:r>
      <w:r>
        <w:rPr>
          <w:rFonts w:hint="eastAsia" w:ascii="仿宋" w:hAnsi="仿宋" w:eastAsia="仿宋" w:cs="仿宋"/>
          <w:highlight w:val="none"/>
          <w:shd w:val="clear" w:color="auto" w:fill="FFFFFF"/>
          <w:lang w:val="zh-CN" w:eastAsia="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8</w:t>
      </w:r>
      <w:r>
        <w:rPr>
          <w:rFonts w:hint="eastAsia" w:ascii="仿宋" w:hAnsi="仿宋" w:eastAsia="仿宋" w:cs="仿宋"/>
          <w:highlight w:val="none"/>
          <w:shd w:val="clear" w:color="auto" w:fill="FFFFFF"/>
          <w:lang w:val="zh-CN" w:eastAsia="zh-CN"/>
        </w:rPr>
        <w:t>）法律、法规及本磋商文件规定的属无效投标的情形。</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2、废标</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）出现影响采购公正的违法、违规行为的；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）因重大变故，采购任务取消的；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）评标委员会认定磋商文件存在歧义、重大缺陷导致评审工作无法进行。</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重新招标</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）投标截止时间止，有效响应供应商少于</w:t>
      </w:r>
      <w:r>
        <w:rPr>
          <w:rFonts w:hint="eastAsia" w:ascii="仿宋" w:hAnsi="仿宋" w:eastAsia="仿宋" w:cs="仿宋"/>
          <w:highlight w:val="none"/>
          <w:shd w:val="clear" w:color="auto" w:fill="FFFFFF"/>
          <w:lang w:val="en-US" w:eastAsia="zh-CN"/>
        </w:rPr>
        <w:t>3个</w:t>
      </w:r>
      <w:r>
        <w:rPr>
          <w:rFonts w:hint="eastAsia" w:ascii="仿宋" w:hAnsi="仿宋" w:eastAsia="仿宋" w:cs="仿宋"/>
          <w:highlight w:val="none"/>
          <w:shd w:val="clear" w:color="auto" w:fill="FFFFFF"/>
          <w:lang w:val="zh-CN" w:eastAsia="zh-CN"/>
        </w:rPr>
        <w:t>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）经评标委员会评审后否决所有投标的；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）符合国家、省、市采购磋商文件中规定情形，导致中标无效，并且应当重新招标的。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不再招标</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）重新采购后有效磋商响应人仍少于</w:t>
      </w:r>
      <w:r>
        <w:rPr>
          <w:rFonts w:hint="eastAsia" w:ascii="仿宋" w:hAnsi="仿宋" w:eastAsia="仿宋" w:cs="仿宋"/>
          <w:highlight w:val="none"/>
          <w:shd w:val="clear" w:color="auto" w:fill="FFFFFF"/>
          <w:lang w:val="en-US" w:eastAsia="zh-CN"/>
        </w:rPr>
        <w:t>3个</w:t>
      </w:r>
      <w:r>
        <w:rPr>
          <w:rFonts w:hint="eastAsia" w:ascii="仿宋" w:hAnsi="仿宋" w:eastAsia="仿宋" w:cs="仿宋"/>
          <w:highlight w:val="none"/>
          <w:shd w:val="clear" w:color="auto" w:fill="FFFFFF"/>
          <w:lang w:val="zh-CN" w:eastAsia="zh-CN"/>
        </w:rPr>
        <w:t>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）重新采购后</w:t>
      </w:r>
      <w:r>
        <w:rPr>
          <w:rFonts w:hint="eastAsia" w:ascii="仿宋" w:hAnsi="仿宋" w:eastAsia="仿宋" w:cs="仿宋"/>
          <w:highlight w:val="none"/>
          <w:shd w:val="clear" w:color="auto" w:fill="FFFFFF"/>
          <w:lang w:val="en-US" w:eastAsia="zh-CN"/>
        </w:rPr>
        <w:t>有效磋商响应人只有2个的，符合竞争继续进行；</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）重新采购后</w:t>
      </w:r>
      <w:r>
        <w:rPr>
          <w:rFonts w:hint="eastAsia" w:ascii="仿宋" w:hAnsi="仿宋" w:eastAsia="仿宋" w:cs="仿宋"/>
          <w:highlight w:val="none"/>
          <w:shd w:val="clear" w:color="auto" w:fill="FFFFFF"/>
          <w:lang w:val="en-US" w:eastAsia="zh-CN"/>
        </w:rPr>
        <w:t>有效磋商响应人只有1个的，改为商务谈判。</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第三章</w:t>
      </w:r>
      <w:r>
        <w:rPr>
          <w:rFonts w:hint="eastAsia" w:ascii="黑体" w:hAnsi="黑体" w:eastAsia="黑体"/>
          <w:sz w:val="30"/>
          <w:szCs w:val="30"/>
          <w:highlight w:val="none"/>
          <w:lang w:val="en-US" w:eastAsia="zh-CN"/>
        </w:rPr>
        <w:t xml:space="preserve"> </w:t>
      </w:r>
      <w:r>
        <w:rPr>
          <w:rFonts w:hint="eastAsia" w:ascii="黑体" w:hAnsi="黑体" w:eastAsia="黑体"/>
          <w:sz w:val="30"/>
          <w:szCs w:val="30"/>
          <w:highlight w:val="none"/>
          <w:lang w:eastAsia="zh-CN"/>
        </w:rPr>
        <w:t>项目需求</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一、项目概述</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南通机场集团对现有平台及后端服务器进行整体改造扩容，以满足国产化及现有的业务需求</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rPr>
        <w:t>本次项目需增加4台国产化中心管理服务节点，同时，对现有综合监控平台进行升级扩容。</w:t>
      </w:r>
    </w:p>
    <w:p>
      <w:pPr>
        <w:pStyle w:val="11"/>
        <w:pageBreakBefore w:val="0"/>
        <w:widowControl/>
        <w:numPr>
          <w:ilvl w:val="0"/>
          <w:numId w:val="1"/>
        </w:numPr>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left"/>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技术要求</w:t>
      </w:r>
    </w:p>
    <w:p>
      <w:pPr>
        <w:pStyle w:val="11"/>
        <w:widowControl/>
        <w:shd w:val="clear" w:color="auto" w:fill="FFFFFF"/>
        <w:spacing w:beforeAutospacing="0" w:afterAutospacing="0" w:line="360" w:lineRule="auto"/>
        <w:ind w:firstLine="482" w:firstLineChars="200"/>
        <w:jc w:val="both"/>
        <w:rPr>
          <w:rFonts w:hint="eastAsia" w:ascii="仿宋" w:hAnsi="仿宋" w:eastAsia="仿宋" w:cs="仿宋"/>
          <w:b/>
          <w:bCs/>
          <w:highlight w:val="none"/>
          <w:shd w:val="clear" w:color="auto" w:fill="FFFFFF"/>
        </w:rPr>
      </w:pPr>
    </w:p>
    <w:p>
      <w:pPr>
        <w:pStyle w:val="11"/>
        <w:widowControl/>
        <w:shd w:val="clear" w:color="auto" w:fill="FFFFFF"/>
        <w:spacing w:beforeAutospacing="0" w:afterAutospacing="0" w:line="360" w:lineRule="auto"/>
        <w:ind w:firstLine="482" w:firstLineChars="200"/>
        <w:jc w:val="both"/>
        <w:rPr>
          <w:rFonts w:hint="default" w:ascii="仿宋" w:hAnsi="仿宋" w:eastAsia="仿宋" w:cs="仿宋"/>
          <w:b/>
          <w:bCs/>
          <w:highlight w:val="none"/>
          <w:shd w:val="clear" w:color="auto" w:fill="FFFFFF"/>
          <w:lang w:val="en-US" w:eastAsia="zh-CN"/>
        </w:rPr>
      </w:pPr>
      <w:r>
        <w:rPr>
          <w:rFonts w:hint="eastAsia" w:ascii="仿宋" w:hAnsi="仿宋" w:eastAsia="仿宋" w:cs="仿宋"/>
          <w:b/>
          <w:bCs/>
          <w:highlight w:val="none"/>
          <w:shd w:val="clear" w:color="auto" w:fill="FFFFFF"/>
        </w:rPr>
        <w:t>1.</w:t>
      </w:r>
      <w:r>
        <w:rPr>
          <w:rFonts w:hint="eastAsia" w:ascii="仿宋" w:hAnsi="仿宋" w:eastAsia="仿宋" w:cs="仿宋"/>
          <w:b/>
          <w:bCs/>
          <w:highlight w:val="none"/>
          <w:shd w:val="clear" w:color="auto" w:fill="FFFFFF"/>
          <w:lang w:val="en-US" w:eastAsia="zh-CN"/>
        </w:rPr>
        <w:t>采购清单及参数要求</w:t>
      </w:r>
    </w:p>
    <w:p>
      <w:pPr>
        <w:pStyle w:val="11"/>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jc w:val="left"/>
        <w:outlineLvl w:val="1"/>
        <w:rPr>
          <w:rFonts w:hint="eastAsia" w:ascii="黑体" w:hAnsi="黑体" w:eastAsia="黑体" w:cs="黑体"/>
          <w:b/>
          <w:bCs/>
          <w:highlight w:val="none"/>
          <w:shd w:val="clear" w:color="auto" w:fill="FFFFFF"/>
          <w:lang w:val="zh-CN" w:eastAsia="zh-CN"/>
        </w:rPr>
      </w:pPr>
    </w:p>
    <w:tbl>
      <w:tblPr>
        <w:tblStyle w:val="12"/>
        <w:tblpPr w:leftFromText="180" w:rightFromText="180" w:vertAnchor="text" w:horzAnchor="page" w:tblpX="1416" w:tblpY="451"/>
        <w:tblOverlap w:val="never"/>
        <w:tblW w:w="4776" w:type="pct"/>
        <w:tblInd w:w="0" w:type="dxa"/>
        <w:tblLayout w:type="fixed"/>
        <w:tblCellMar>
          <w:top w:w="0" w:type="dxa"/>
          <w:left w:w="108" w:type="dxa"/>
          <w:bottom w:w="0" w:type="dxa"/>
          <w:right w:w="108" w:type="dxa"/>
        </w:tblCellMar>
      </w:tblPr>
      <w:tblGrid>
        <w:gridCol w:w="626"/>
        <w:gridCol w:w="948"/>
        <w:gridCol w:w="3460"/>
        <w:gridCol w:w="816"/>
        <w:gridCol w:w="1377"/>
        <w:gridCol w:w="1645"/>
      </w:tblGrid>
      <w:tr>
        <w:trPr>
          <w:trHeight w:val="382" w:hRule="atLeast"/>
        </w:trPr>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序号</w:t>
            </w:r>
          </w:p>
        </w:tc>
        <w:tc>
          <w:tcPr>
            <w:tcW w:w="534" w:type="pct"/>
            <w:tcBorders>
              <w:top w:val="single" w:color="auto" w:sz="4" w:space="0"/>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名称</w:t>
            </w:r>
          </w:p>
        </w:tc>
        <w:tc>
          <w:tcPr>
            <w:tcW w:w="1949" w:type="pct"/>
            <w:tcBorders>
              <w:top w:val="single" w:color="auto" w:sz="4" w:space="0"/>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技术规格</w:t>
            </w:r>
          </w:p>
        </w:tc>
        <w:tc>
          <w:tcPr>
            <w:tcW w:w="459" w:type="pct"/>
            <w:tcBorders>
              <w:top w:val="single" w:color="auto" w:sz="4" w:space="0"/>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单位</w:t>
            </w:r>
          </w:p>
        </w:tc>
        <w:tc>
          <w:tcPr>
            <w:tcW w:w="776" w:type="pct"/>
            <w:tcBorders>
              <w:top w:val="single" w:color="auto" w:sz="4" w:space="0"/>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center"/>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数量</w:t>
            </w:r>
          </w:p>
        </w:tc>
        <w:tc>
          <w:tcPr>
            <w:tcW w:w="927" w:type="pct"/>
            <w:tcBorders>
              <w:top w:val="single" w:color="auto" w:sz="4" w:space="0"/>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both"/>
              <w:rPr>
                <w:rFonts w:hint="default"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单价限价（含税）</w:t>
            </w:r>
          </w:p>
        </w:tc>
      </w:tr>
      <w:tr>
        <w:tblPrEx>
          <w:tblCellMar>
            <w:top w:w="0" w:type="dxa"/>
            <w:left w:w="108" w:type="dxa"/>
            <w:bottom w:w="0" w:type="dxa"/>
            <w:right w:w="108" w:type="dxa"/>
          </w:tblCellMar>
        </w:tblPrEx>
        <w:trPr>
          <w:trHeight w:val="452" w:hRule="atLeast"/>
        </w:trPr>
        <w:tc>
          <w:tcPr>
            <w:tcW w:w="352" w:type="pct"/>
            <w:tcBorders>
              <w:top w:val="nil"/>
              <w:left w:val="single" w:color="auto" w:sz="4" w:space="0"/>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1</w:t>
            </w:r>
          </w:p>
        </w:tc>
        <w:tc>
          <w:tcPr>
            <w:tcW w:w="534"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中心管理服务节点（硬件部分）</w:t>
            </w:r>
          </w:p>
        </w:tc>
        <w:tc>
          <w:tcPr>
            <w:tcW w:w="1949" w:type="pct"/>
            <w:tcBorders>
              <w:top w:val="nil"/>
              <w:left w:val="nil"/>
              <w:bottom w:val="single" w:color="auto" w:sz="4" w:space="0"/>
              <w:right w:val="single" w:color="auto" w:sz="4" w:space="0"/>
            </w:tcBorders>
            <w:shd w:val="clear" w:color="auto" w:fill="auto"/>
          </w:tcPr>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1、CPU：不少于2颗 x86架构国产化处理器，核数≥24核，频率≥2.2GHz；</w:t>
            </w: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2、内存：不低于128G DDR4；</w:t>
            </w: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3、硬盘：不少于4块600G 10K 2.5寸 SAS硬盘；</w:t>
            </w: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4、阵列卡：配置RAID_2G卡，支持RAID 0/1/10/5/50/60；</w:t>
            </w: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5、PCIE扩展：支持10个PCIE插槽；</w:t>
            </w: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6、网口：不少于2个千兆电口，2个万兆光口；</w:t>
            </w: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7、其他接口：不少于1个千兆RJ-45管理接口，4个USB 3.0接口、1个VGA接口；</w:t>
            </w: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8、电源：配置800W（1+1）高效铂金CRPS冗余电源。</w:t>
            </w:r>
          </w:p>
        </w:tc>
        <w:tc>
          <w:tcPr>
            <w:tcW w:w="459"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台</w:t>
            </w:r>
          </w:p>
        </w:tc>
        <w:tc>
          <w:tcPr>
            <w:tcW w:w="776"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4</w:t>
            </w:r>
          </w:p>
        </w:tc>
        <w:tc>
          <w:tcPr>
            <w:tcW w:w="927"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ind w:firstLine="400" w:firstLineChars="200"/>
              <w:jc w:val="both"/>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both"/>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both"/>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both"/>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both"/>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both"/>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jc w:val="both"/>
              <w:rPr>
                <w:rFonts w:hint="default"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52500元</w:t>
            </w:r>
          </w:p>
        </w:tc>
      </w:tr>
      <w:tr>
        <w:tblPrEx>
          <w:tblCellMar>
            <w:top w:w="0" w:type="dxa"/>
            <w:left w:w="108" w:type="dxa"/>
            <w:bottom w:w="0" w:type="dxa"/>
            <w:right w:w="108" w:type="dxa"/>
          </w:tblCellMar>
        </w:tblPrEx>
        <w:trPr>
          <w:trHeight w:val="1072" w:hRule="atLeast"/>
        </w:trPr>
        <w:tc>
          <w:tcPr>
            <w:tcW w:w="352" w:type="pct"/>
            <w:tcBorders>
              <w:top w:val="nil"/>
              <w:left w:val="single" w:color="auto" w:sz="4" w:space="0"/>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ind w:firstLine="400" w:firstLineChars="200"/>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2</w:t>
            </w:r>
          </w:p>
        </w:tc>
        <w:tc>
          <w:tcPr>
            <w:tcW w:w="534"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综合监控平台升级扩容（软件 部分）</w:t>
            </w:r>
          </w:p>
        </w:tc>
        <w:tc>
          <w:tcPr>
            <w:tcW w:w="1949" w:type="pct"/>
            <w:tcBorders>
              <w:top w:val="nil"/>
              <w:left w:val="nil"/>
              <w:bottom w:val="single" w:color="auto" w:sz="4" w:space="0"/>
              <w:right w:val="single" w:color="auto" w:sz="4" w:space="0"/>
            </w:tcBorders>
            <w:shd w:val="clear" w:color="auto" w:fill="auto"/>
          </w:tcPr>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1、扩容平台视频联网能力，增加600路视频设备接入；</w:t>
            </w:r>
          </w:p>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2、新增运维模块，通过网络管理，对接入平台的视频设备、门禁设备、报警设备等，进行在线巡检，及时发现故障设备和掉线设备。</w:t>
            </w:r>
          </w:p>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★（1）要求支持以中心管理服务为核心的网络拓扑结构，支持对系统中的分组、服务器、组件等统计概览、查看，磋商响应人提供公安部检测报告并加盖公章；</w:t>
            </w:r>
          </w:p>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2）要求支持对监控的图像进行视频质量诊断，图像异常项包括图像偏色、噪声干扰、图像过暗、图像过亮、视频丢帧、视频抖动、对比度异常、条纹干扰、视频遮挡、信号丢失、图像黑白、图像模糊、场景变换、视频剧变；</w:t>
            </w:r>
          </w:p>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3）要求支持多色彩（红、橙、黄）展示运行告警状态，支持告警统计、概览、处理，支持告警记录查看、查询，支持告警单条、批量处理；支持系统最近7天每日告警数统计，支持评分量化系统监控指数，显示系统运行状态，磋商响应人提供公安部检测报告并加盖公章；</w:t>
            </w:r>
          </w:p>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3、新增融合监控模块，要求支持将视频预览画面、门禁出入信息、出入口进出信息、智能监控实时监控信息融合在一个客户端页面进行展示；</w:t>
            </w:r>
          </w:p>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4、增加视频点位联网服务，提供平台域间视频联网，基于视频通用标准协议（GB/T28181-2011,GB/T28181-2016）与外域平台互联互通，实现平台视频资源点位推送等操作控制；</w:t>
            </w:r>
          </w:p>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★5、国产化适配上，需要支持系统部署在欧拉操作系统、银河麒麟操作系统环境中，磋商响应人提供公安部检测报告并加盖公章。</w:t>
            </w:r>
          </w:p>
        </w:tc>
        <w:tc>
          <w:tcPr>
            <w:tcW w:w="459"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套</w:t>
            </w:r>
          </w:p>
        </w:tc>
        <w:tc>
          <w:tcPr>
            <w:tcW w:w="776"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ind w:firstLine="400" w:firstLineChars="200"/>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1</w:t>
            </w:r>
          </w:p>
        </w:tc>
        <w:tc>
          <w:tcPr>
            <w:tcW w:w="927"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both"/>
              <w:rPr>
                <w:rFonts w:hint="default"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71500元</w:t>
            </w:r>
          </w:p>
        </w:tc>
      </w:tr>
      <w:tr>
        <w:tblPrEx>
          <w:tblCellMar>
            <w:top w:w="0" w:type="dxa"/>
            <w:left w:w="108" w:type="dxa"/>
            <w:bottom w:w="0" w:type="dxa"/>
            <w:right w:w="108" w:type="dxa"/>
          </w:tblCellMar>
        </w:tblPrEx>
        <w:trPr>
          <w:trHeight w:val="460" w:hRule="atLeast"/>
        </w:trPr>
        <w:tc>
          <w:tcPr>
            <w:tcW w:w="352" w:type="pct"/>
            <w:tcBorders>
              <w:top w:val="nil"/>
              <w:left w:val="single" w:color="auto" w:sz="4" w:space="0"/>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ind w:firstLine="400" w:firstLineChars="200"/>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3</w:t>
            </w:r>
          </w:p>
        </w:tc>
        <w:tc>
          <w:tcPr>
            <w:tcW w:w="534"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网络板卡</w:t>
            </w:r>
          </w:p>
        </w:tc>
        <w:tc>
          <w:tcPr>
            <w:tcW w:w="1949"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★24端口千兆以太网电接口(RJ45)+4端口万兆以太网光接口模块(SFP+LC)</w:t>
            </w:r>
          </w:p>
          <w:p>
            <w:pPr>
              <w:pStyle w:val="11"/>
              <w:widowControl/>
              <w:shd w:val="clear" w:color="auto" w:fill="FFFFFF"/>
              <w:spacing w:beforeAutospacing="0" w:afterAutospacing="0" w:line="240" w:lineRule="auto"/>
              <w:jc w:val="both"/>
              <w:rPr>
                <w:rFonts w:hint="default"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注：原核心交换机品牌为H3C,此卡为扩容，需适配原核心交换机。型号：LSUM2GT24TSSE0</w:t>
            </w:r>
          </w:p>
        </w:tc>
        <w:tc>
          <w:tcPr>
            <w:tcW w:w="459"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块</w:t>
            </w:r>
          </w:p>
        </w:tc>
        <w:tc>
          <w:tcPr>
            <w:tcW w:w="776"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ind w:firstLine="400" w:firstLineChars="200"/>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1</w:t>
            </w:r>
          </w:p>
        </w:tc>
        <w:tc>
          <w:tcPr>
            <w:tcW w:w="927"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both"/>
              <w:rPr>
                <w:rFonts w:hint="default"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85000元</w:t>
            </w:r>
          </w:p>
        </w:tc>
      </w:tr>
    </w:tbl>
    <w:p>
      <w:pPr>
        <w:pStyle w:val="11"/>
        <w:widowControl/>
        <w:numPr>
          <w:ilvl w:val="0"/>
          <w:numId w:val="0"/>
        </w:numPr>
        <w:shd w:val="clear" w:color="auto" w:fill="FFFFFF"/>
        <w:spacing w:beforeAutospacing="0" w:afterAutospacing="0" w:line="360" w:lineRule="auto"/>
        <w:jc w:val="both"/>
        <w:rPr>
          <w:rFonts w:hint="eastAsia" w:ascii="仿宋" w:hAnsi="仿宋" w:eastAsia="仿宋" w:cs="仿宋"/>
          <w:b/>
          <w:bCs/>
          <w:highlight w:val="none"/>
          <w:shd w:val="clear" w:color="auto" w:fill="FFFFFF"/>
          <w:lang w:val="en-US" w:eastAsia="zh-CN"/>
        </w:rPr>
      </w:pPr>
      <w:r>
        <w:rPr>
          <w:rFonts w:hint="eastAsia" w:ascii="仿宋" w:hAnsi="仿宋" w:eastAsia="仿宋" w:cs="仿宋"/>
          <w:b/>
          <w:bCs/>
          <w:highlight w:val="none"/>
          <w:shd w:val="clear" w:color="auto" w:fill="FFFFFF"/>
          <w:lang w:val="en-US" w:eastAsia="zh-CN"/>
        </w:rPr>
        <w:t>磋商响应人对采购清单内容进行逐项报价，超过单价限价视为无效投标</w:t>
      </w:r>
    </w:p>
    <w:p>
      <w:pPr>
        <w:pStyle w:val="11"/>
        <w:widowControl/>
        <w:numPr>
          <w:ilvl w:val="0"/>
          <w:numId w:val="0"/>
        </w:numPr>
        <w:shd w:val="clear" w:color="auto" w:fill="FFFFFF"/>
        <w:spacing w:beforeAutospacing="0" w:afterAutospacing="0" w:line="360" w:lineRule="auto"/>
        <w:jc w:val="both"/>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注：</w:t>
      </w:r>
    </w:p>
    <w:p>
      <w:pPr>
        <w:pStyle w:val="11"/>
        <w:widowControl/>
        <w:numPr>
          <w:ilvl w:val="0"/>
          <w:numId w:val="0"/>
        </w:numPr>
        <w:shd w:val="clear" w:color="auto" w:fill="FFFFFF"/>
        <w:spacing w:beforeAutospacing="0" w:afterAutospacing="0" w:line="360" w:lineRule="auto"/>
        <w:jc w:val="both"/>
        <w:rPr>
          <w:rFonts w:hint="eastAsia" w:ascii="仿宋" w:hAnsi="仿宋" w:eastAsia="仿宋" w:cs="仿宋"/>
          <w:b w:val="0"/>
          <w:bCs w:val="0"/>
          <w:highlight w:val="none"/>
          <w:shd w:val="clear" w:color="auto" w:fill="FFFFFF"/>
          <w:lang w:val="en-US" w:eastAsia="zh-CN"/>
        </w:rPr>
      </w:pPr>
      <w:r>
        <w:rPr>
          <w:rFonts w:hint="eastAsia" w:ascii="宋体" w:hAnsi="宋体" w:eastAsia="宋体" w:cs="宋体"/>
          <w:b w:val="0"/>
          <w:bCs w:val="0"/>
          <w:highlight w:val="none"/>
          <w:shd w:val="clear" w:color="auto" w:fill="FFFFFF"/>
          <w:lang w:val="en-US" w:eastAsia="zh-CN"/>
        </w:rPr>
        <w:t>①</w:t>
      </w:r>
      <w:r>
        <w:rPr>
          <w:rFonts w:hint="eastAsia" w:ascii="仿宋" w:hAnsi="仿宋" w:eastAsia="仿宋" w:cs="仿宋"/>
          <w:b w:val="0"/>
          <w:bCs w:val="0"/>
          <w:highlight w:val="none"/>
          <w:shd w:val="clear" w:color="auto" w:fill="FFFFFF"/>
          <w:lang w:val="en-US" w:eastAsia="zh-CN"/>
        </w:rPr>
        <w:t>经济性原则：要充分利用现有的软硬件环境和应用建设成果，尽可能避免重复建设和资源浪费，所有升级功能成交候选人承诺在原有系统上完成升级开发或免费实现原有系统全部功能；</w:t>
      </w:r>
    </w:p>
    <w:p>
      <w:pPr>
        <w:pStyle w:val="11"/>
        <w:widowControl/>
        <w:numPr>
          <w:ilvl w:val="0"/>
          <w:numId w:val="0"/>
        </w:numPr>
        <w:shd w:val="clear" w:color="auto" w:fill="FFFFFF"/>
        <w:spacing w:beforeAutospacing="0" w:afterAutospacing="0" w:line="360" w:lineRule="auto"/>
        <w:jc w:val="both"/>
        <w:rPr>
          <w:rFonts w:hint="eastAsia" w:ascii="仿宋" w:hAnsi="仿宋" w:eastAsia="仿宋" w:cs="仿宋"/>
          <w:b w:val="0"/>
          <w:bCs w:val="0"/>
          <w:highlight w:val="none"/>
          <w:shd w:val="clear" w:color="auto" w:fill="FFFFFF"/>
          <w:lang w:val="en-US" w:eastAsia="zh-CN"/>
        </w:rPr>
      </w:pPr>
      <w:r>
        <w:rPr>
          <w:rFonts w:hint="default" w:ascii="Calibri" w:hAnsi="Calibri" w:eastAsia="仿宋" w:cs="Calibri"/>
          <w:b w:val="0"/>
          <w:bCs w:val="0"/>
          <w:highlight w:val="none"/>
          <w:shd w:val="clear" w:color="auto" w:fill="FFFFFF"/>
          <w:lang w:val="en-US" w:eastAsia="zh-CN"/>
        </w:rPr>
        <w:t>②</w:t>
      </w:r>
      <w:r>
        <w:rPr>
          <w:rFonts w:hint="eastAsia" w:ascii="仿宋" w:hAnsi="仿宋" w:eastAsia="仿宋" w:cs="仿宋"/>
          <w:b w:val="0"/>
          <w:bCs w:val="0"/>
          <w:highlight w:val="none"/>
          <w:shd w:val="clear" w:color="auto" w:fill="FFFFFF"/>
          <w:lang w:val="en-US" w:eastAsia="zh-CN"/>
        </w:rPr>
        <w:t>本次项目需对综合监控平台、后端管理服务器进行升级扩容，需承诺无缝对接现有视频图像存储资源池，确保业务不中断，数据不丢失（提供书面承诺），否则视为无效投标；</w:t>
      </w:r>
    </w:p>
    <w:p>
      <w:pPr>
        <w:pStyle w:val="11"/>
        <w:widowControl/>
        <w:numPr>
          <w:ilvl w:val="0"/>
          <w:numId w:val="0"/>
        </w:numPr>
        <w:shd w:val="clear" w:color="auto" w:fill="FFFFFF"/>
        <w:spacing w:beforeAutospacing="0" w:afterAutospacing="0" w:line="360" w:lineRule="auto"/>
        <w:jc w:val="both"/>
        <w:rPr>
          <w:rFonts w:hint="eastAsia" w:ascii="仿宋" w:hAnsi="仿宋" w:eastAsia="仿宋" w:cs="仿宋"/>
          <w:b w:val="0"/>
          <w:bCs w:val="0"/>
          <w:highlight w:val="none"/>
          <w:shd w:val="clear" w:color="auto" w:fill="FFFFFF"/>
          <w:lang w:val="en-US" w:eastAsia="zh-CN"/>
        </w:rPr>
      </w:pPr>
      <w:r>
        <w:rPr>
          <w:rFonts w:hint="default" w:ascii="Calibri" w:hAnsi="Calibri" w:eastAsia="仿宋" w:cs="Calibri"/>
          <w:b w:val="0"/>
          <w:bCs w:val="0"/>
          <w:highlight w:val="none"/>
          <w:shd w:val="clear" w:color="auto" w:fill="FFFFFF"/>
          <w:lang w:val="en-US" w:eastAsia="zh-CN"/>
        </w:rPr>
        <w:t>③</w:t>
      </w:r>
      <w:r>
        <w:rPr>
          <w:rFonts w:hint="eastAsia" w:ascii="仿宋" w:hAnsi="仿宋" w:eastAsia="仿宋" w:cs="仿宋"/>
          <w:b w:val="0"/>
          <w:bCs w:val="0"/>
          <w:highlight w:val="none"/>
          <w:shd w:val="clear" w:color="auto" w:fill="FFFFFF"/>
          <w:lang w:val="en-US" w:eastAsia="zh-CN"/>
        </w:rPr>
        <w:t>磋商响应人注意符号“★”条款，采购人不接受负偏离，否则视为无效投标。</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bCs/>
          <w:highlight w:val="none"/>
          <w:shd w:val="clear" w:color="auto" w:fill="FFFFFF"/>
          <w:lang w:val="en-US" w:eastAsia="zh-CN"/>
        </w:rPr>
      </w:pPr>
      <w:r>
        <w:rPr>
          <w:rFonts w:hint="eastAsia" w:ascii="仿宋" w:hAnsi="仿宋" w:eastAsia="仿宋" w:cs="仿宋"/>
          <w:b/>
          <w:bCs/>
          <w:highlight w:val="none"/>
          <w:shd w:val="clear" w:color="auto" w:fill="FFFFFF"/>
          <w:lang w:val="en-US" w:eastAsia="zh-CN"/>
        </w:rPr>
        <w:t>2.执行标准</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《公共安全视频监控联网系统 信息传输、交换、控制技术要求》GB/T 28181-2016</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《智能建筑设计标准》GB/T50314-2015</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《安全防范工程技术规范》GB50348—2004</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《信息技术互连国际标准》ISO/IEC11801-95</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《计算机软件开发规范》GB8566</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《软件集成与运行规范》</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《组件开发规范（系列文档）》</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《软件构架开发规范（系列文档）》</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《软件产品开发规范》</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《软件日志记录规范》</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《RESTful API开发规范》</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w:t>
      </w:r>
      <w:r>
        <w:rPr>
          <w:rFonts w:hint="default" w:ascii="仿宋" w:hAnsi="仿宋" w:eastAsia="仿宋" w:cs="仿宋"/>
          <w:b w:val="0"/>
          <w:bCs w:val="0"/>
          <w:highlight w:val="none"/>
          <w:shd w:val="clear" w:color="auto" w:fill="FFFFFF"/>
          <w:lang w:val="en-US" w:eastAsia="zh-CN"/>
        </w:rPr>
        <w:fldChar w:fldCharType="begin"/>
      </w:r>
      <w:r>
        <w:rPr>
          <w:rFonts w:hint="default" w:ascii="仿宋" w:hAnsi="仿宋" w:eastAsia="仿宋" w:cs="仿宋"/>
          <w:b w:val="0"/>
          <w:bCs w:val="0"/>
          <w:highlight w:val="none"/>
          <w:shd w:val="clear" w:color="auto" w:fill="FFFFFF"/>
          <w:lang w:val="en-US" w:eastAsia="zh-CN"/>
        </w:rPr>
        <w:instrText xml:space="preserve"> HYPERLINK "https://wiki.hikvision.com.cn/download/attachments/43945681/%E8%BD%AF%E4%BB%B6%E9%94%99%E8%AF%AF%E7%A0%81%E8%A7%84%E8%8C%83.docx?version=2&amp;modificationDate=1508837068603&amp;api=v2" </w:instrText>
      </w:r>
      <w:r>
        <w:rPr>
          <w:rFonts w:hint="default" w:ascii="仿宋" w:hAnsi="仿宋" w:eastAsia="仿宋" w:cs="仿宋"/>
          <w:b w:val="0"/>
          <w:bCs w:val="0"/>
          <w:highlight w:val="none"/>
          <w:shd w:val="clear" w:color="auto" w:fill="FFFFFF"/>
          <w:lang w:val="en-US" w:eastAsia="zh-CN"/>
        </w:rPr>
        <w:fldChar w:fldCharType="separate"/>
      </w:r>
      <w:r>
        <w:rPr>
          <w:rFonts w:hint="default" w:ascii="仿宋" w:hAnsi="仿宋" w:eastAsia="仿宋" w:cs="仿宋"/>
          <w:b w:val="0"/>
          <w:bCs w:val="0"/>
          <w:highlight w:val="none"/>
          <w:shd w:val="clear" w:color="auto" w:fill="FFFFFF"/>
          <w:lang w:val="en-US" w:eastAsia="zh-CN"/>
        </w:rPr>
        <w:t>软件错误码规范</w:t>
      </w:r>
      <w:r>
        <w:rPr>
          <w:rFonts w:hint="default" w:ascii="仿宋" w:hAnsi="仿宋" w:eastAsia="仿宋" w:cs="仿宋"/>
          <w:b w:val="0"/>
          <w:bCs w:val="0"/>
          <w:highlight w:val="none"/>
          <w:shd w:val="clear" w:color="auto" w:fill="FFFFFF"/>
          <w:lang w:val="en-US" w:eastAsia="zh-CN"/>
        </w:rPr>
        <w:fldChar w:fldCharType="end"/>
      </w:r>
      <w:r>
        <w:rPr>
          <w:rFonts w:hint="default" w:ascii="仿宋" w:hAnsi="仿宋" w:eastAsia="仿宋" w:cs="仿宋"/>
          <w:b w:val="0"/>
          <w:bCs w:val="0"/>
          <w:highlight w:val="none"/>
          <w:shd w:val="clear" w:color="auto" w:fill="FFFFFF"/>
          <w:lang w:val="en-US" w:eastAsia="zh-CN"/>
        </w:rPr>
        <w:t>》</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《开源软件管理规范》</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《门禁系统联网技术标准规范》</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《停车场联网技术标准规范》</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《基础环境选型指南》</w:t>
      </w:r>
    </w:p>
    <w:p>
      <w:pPr>
        <w:pStyle w:val="11"/>
        <w:widowControl/>
        <w:numPr>
          <w:ilvl w:val="0"/>
          <w:numId w:val="0"/>
        </w:numPr>
        <w:shd w:val="clear" w:color="auto" w:fill="FFFFFF"/>
        <w:spacing w:beforeAutospacing="0" w:afterAutospacing="0" w:line="360" w:lineRule="auto"/>
        <w:jc w:val="both"/>
        <w:rPr>
          <w:rFonts w:hint="eastAsia" w:ascii="仿宋" w:hAnsi="仿宋" w:eastAsia="仿宋" w:cs="仿宋"/>
          <w:b/>
          <w:bCs/>
          <w:highlight w:val="none"/>
          <w:shd w:val="clear" w:color="auto" w:fill="FFFFFF"/>
          <w:lang w:val="en-US" w:eastAsia="zh-CN"/>
        </w:rPr>
      </w:pPr>
      <w:r>
        <w:rPr>
          <w:rFonts w:hint="eastAsia" w:ascii="仿宋" w:hAnsi="仿宋" w:eastAsia="仿宋" w:cs="仿宋"/>
          <w:b/>
          <w:bCs/>
          <w:highlight w:val="none"/>
          <w:shd w:val="clear" w:color="auto" w:fill="FFFFFF"/>
          <w:lang w:val="en-US" w:eastAsia="zh-CN"/>
        </w:rPr>
        <w:t>3.安全要求</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满足国家网络安全等级保护制度2.0标准中等保二级相关要求</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en-US" w:eastAsia="zh-CN"/>
        </w:rPr>
      </w:pPr>
      <w:r>
        <w:rPr>
          <w:rFonts w:hint="eastAsia" w:ascii="黑体" w:hAnsi="黑体" w:eastAsia="黑体" w:cs="黑体"/>
          <w:b/>
          <w:bCs/>
          <w:highlight w:val="none"/>
          <w:shd w:val="clear" w:color="auto" w:fill="FFFFFF"/>
          <w:lang w:val="en-US" w:eastAsia="zh-CN"/>
        </w:rPr>
        <w:t>三、商务要求</w:t>
      </w:r>
    </w:p>
    <w:p>
      <w:pPr>
        <w:pStyle w:val="11"/>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rPr>
        <w:t>1、交货期限：自</w:t>
      </w:r>
      <w:r>
        <w:rPr>
          <w:rFonts w:hint="eastAsia" w:ascii="仿宋" w:hAnsi="仿宋" w:eastAsia="仿宋" w:cs="仿宋"/>
          <w:highlight w:val="none"/>
          <w:shd w:val="clear" w:color="auto" w:fill="FFFFFF"/>
          <w:lang w:val="en-US" w:eastAsia="zh-CN"/>
        </w:rPr>
        <w:t>合同签订</w:t>
      </w:r>
      <w:r>
        <w:rPr>
          <w:rFonts w:hint="eastAsia" w:ascii="仿宋" w:hAnsi="仿宋" w:eastAsia="仿宋" w:cs="仿宋"/>
          <w:highlight w:val="none"/>
          <w:shd w:val="clear" w:color="auto" w:fill="FFFFFF"/>
        </w:rPr>
        <w:t>，</w:t>
      </w:r>
      <w:r>
        <w:rPr>
          <w:rFonts w:hint="eastAsia" w:ascii="仿宋" w:hAnsi="仿宋" w:eastAsia="仿宋" w:cs="仿宋"/>
          <w:highlight w:val="none"/>
          <w:shd w:val="clear" w:color="auto" w:fill="FFFFFF"/>
          <w:lang w:val="en-US" w:eastAsia="zh-CN"/>
        </w:rPr>
        <w:t>30</w:t>
      </w:r>
      <w:r>
        <w:rPr>
          <w:rFonts w:hint="eastAsia" w:ascii="仿宋" w:hAnsi="仿宋" w:eastAsia="仿宋" w:cs="仿宋"/>
          <w:highlight w:val="none"/>
          <w:shd w:val="clear" w:color="auto" w:fill="FFFFFF"/>
        </w:rPr>
        <w:t>天内安装调试到位。</w:t>
      </w:r>
    </w:p>
    <w:p>
      <w:pPr>
        <w:pStyle w:val="11"/>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rPr>
        <w:t>、交付地点：南通兴东国际机场</w:t>
      </w:r>
    </w:p>
    <w:p>
      <w:pPr>
        <w:pStyle w:val="11"/>
        <w:widowControl/>
        <w:shd w:val="clear" w:color="auto" w:fill="FFFFFF"/>
        <w:spacing w:beforeAutospacing="0" w:afterAutospacing="0" w:line="360" w:lineRule="auto"/>
        <w:ind w:firstLine="480" w:firstLineChars="200"/>
        <w:jc w:val="both"/>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3、质量保证：不低于3年，质保期内免费对软硬件进行升级维护</w:t>
      </w:r>
    </w:p>
    <w:p>
      <w:pPr>
        <w:pStyle w:val="11"/>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rPr>
        <w:t>、验收标准：产品按照双方签订的合同、</w:t>
      </w:r>
      <w:r>
        <w:rPr>
          <w:rFonts w:hint="eastAsia" w:ascii="仿宋" w:hAnsi="仿宋" w:eastAsia="仿宋" w:cs="仿宋"/>
          <w:highlight w:val="none"/>
          <w:shd w:val="clear" w:color="auto" w:fill="FFFFFF"/>
          <w:lang w:eastAsia="zh-CN"/>
        </w:rPr>
        <w:t>采购文件</w:t>
      </w:r>
      <w:r>
        <w:rPr>
          <w:rFonts w:hint="eastAsia" w:ascii="仿宋" w:hAnsi="仿宋" w:eastAsia="仿宋" w:cs="仿宋"/>
          <w:highlight w:val="none"/>
          <w:shd w:val="clear" w:color="auto" w:fill="FFFFFF"/>
        </w:rPr>
        <w:t>以及投标文件的相关内容进行现场验收。</w:t>
      </w:r>
    </w:p>
    <w:p>
      <w:pPr>
        <w:pStyle w:val="11"/>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rPr>
        <w:t>、验收方案：双方当场验收</w:t>
      </w:r>
      <w:r>
        <w:rPr>
          <w:rFonts w:hint="eastAsia" w:ascii="仿宋" w:hAnsi="仿宋" w:eastAsia="仿宋" w:cs="仿宋"/>
          <w:highlight w:val="none"/>
          <w:shd w:val="clear" w:color="auto" w:fill="FFFFFF"/>
          <w:lang w:eastAsia="zh-CN"/>
        </w:rPr>
        <w:t>。</w:t>
      </w:r>
    </w:p>
    <w:p>
      <w:pPr>
        <w:pStyle w:val="11"/>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6</w:t>
      </w:r>
      <w:r>
        <w:rPr>
          <w:rFonts w:hint="eastAsia" w:ascii="仿宋" w:hAnsi="仿宋" w:eastAsia="仿宋" w:cs="仿宋"/>
          <w:highlight w:val="none"/>
          <w:shd w:val="clear" w:color="auto" w:fill="FFFFFF"/>
        </w:rPr>
        <w:t>、付款条件：验收合格后，</w:t>
      </w:r>
      <w:r>
        <w:rPr>
          <w:rFonts w:hint="eastAsia" w:ascii="仿宋" w:hAnsi="仿宋" w:eastAsia="仿宋" w:cs="仿宋"/>
          <w:highlight w:val="none"/>
          <w:shd w:val="clear" w:color="auto" w:fill="FFFFFF"/>
          <w:lang w:eastAsia="zh-CN"/>
        </w:rPr>
        <w:t>成交人</w:t>
      </w:r>
      <w:r>
        <w:rPr>
          <w:rFonts w:hint="eastAsia" w:ascii="仿宋" w:hAnsi="仿宋" w:eastAsia="仿宋" w:cs="仿宋"/>
          <w:highlight w:val="none"/>
          <w:shd w:val="clear" w:color="auto" w:fill="FFFFFF"/>
        </w:rPr>
        <w:t>出具增值税专用发票，</w:t>
      </w:r>
      <w:r>
        <w:rPr>
          <w:rFonts w:hint="eastAsia" w:ascii="仿宋" w:hAnsi="仿宋" w:eastAsia="仿宋" w:cs="仿宋"/>
          <w:highlight w:val="none"/>
          <w:shd w:val="clear" w:color="auto" w:fill="FFFFFF"/>
          <w:lang w:val="en-US" w:eastAsia="zh-CN"/>
        </w:rPr>
        <w:t>机场支付合同价款97%，留3%质保金，3年后无息返还。</w:t>
      </w:r>
    </w:p>
    <w:p>
      <w:pPr>
        <w:pStyle w:val="11"/>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rPr>
        <w:t>、售后服务：供应商需保证提供优良服务，具备7X24小时远程支持能力，必须2小时内响应，采购方如有需求，需在1.5小时内赶赴现场，24小时内完成采购方提出的售后要求，如需更换或送修需在2个工作日内完成。</w:t>
      </w: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val="en-US" w:eastAsia="zh-CN"/>
        </w:rPr>
      </w:pPr>
      <w:r>
        <w:rPr>
          <w:rFonts w:hint="eastAsia" w:ascii="黑体" w:hAnsi="黑体" w:eastAsia="黑体"/>
          <w:sz w:val="30"/>
          <w:szCs w:val="30"/>
          <w:highlight w:val="none"/>
          <w:lang w:eastAsia="zh-CN"/>
        </w:rPr>
        <w:t>第四章</w:t>
      </w:r>
      <w:r>
        <w:rPr>
          <w:rFonts w:hint="eastAsia" w:ascii="黑体" w:hAnsi="黑体" w:eastAsia="黑体"/>
          <w:sz w:val="30"/>
          <w:szCs w:val="30"/>
          <w:highlight w:val="none"/>
          <w:lang w:val="en-US" w:eastAsia="zh-CN"/>
        </w:rPr>
        <w:t xml:space="preserve"> 响应文件格式</w:t>
      </w:r>
    </w:p>
    <w:p>
      <w:pPr>
        <w:pStyle w:val="17"/>
        <w:jc w:val="left"/>
        <w:outlineLvl w:val="9"/>
        <w:rPr>
          <w:rFonts w:hint="eastAsia" w:ascii="仿宋" w:hAnsi="仿宋" w:eastAsia="仿宋" w:cs="仿宋"/>
          <w:sz w:val="28"/>
          <w:szCs w:val="28"/>
          <w:highlight w:val="none"/>
        </w:rPr>
      </w:pPr>
    </w:p>
    <w:p>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法定代表人身份证明书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法定代表人身份证明书</w:t>
      </w:r>
    </w:p>
    <w:p>
      <w:pPr>
        <w:topLinePunct/>
        <w:spacing w:line="420" w:lineRule="atLeast"/>
        <w:rPr>
          <w:rFonts w:ascii="宋体"/>
          <w:szCs w:val="21"/>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成立时间：年月日</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lang w:val="en-US" w:eastAsia="zh-CN"/>
        </w:rPr>
        <w:t xml:space="preserve">XXX  </w:t>
      </w:r>
      <w:r>
        <w:rPr>
          <w:rFonts w:hint="eastAsia" w:ascii="仿宋" w:hAnsi="仿宋" w:eastAsia="仿宋" w:cs="仿宋"/>
          <w:sz w:val="24"/>
          <w:highlight w:val="none"/>
        </w:rPr>
        <w:t>身份证号：</w:t>
      </w:r>
      <w:r>
        <w:rPr>
          <w:rFonts w:hint="eastAsia" w:ascii="仿宋" w:hAnsi="仿宋" w:eastAsia="仿宋" w:cs="仿宋"/>
          <w:sz w:val="24"/>
          <w:highlight w:val="none"/>
          <w:lang w:val="en-US" w:eastAsia="zh-CN"/>
        </w:rPr>
        <w:t>XXXXXXXXX</w:t>
      </w:r>
      <w:r>
        <w:rPr>
          <w:rFonts w:hint="eastAsia" w:ascii="仿宋" w:hAnsi="仿宋" w:eastAsia="仿宋" w:cs="仿宋"/>
          <w:sz w:val="24"/>
          <w:highlight w:val="none"/>
        </w:rPr>
        <w:t>系（</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名称）的法定代表人。</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特此证明。</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：（公章）</w:t>
      </w: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   年    月    日</w:t>
      </w:r>
    </w:p>
    <w:p>
      <w:pPr>
        <w:tabs>
          <w:tab w:val="left" w:pos="720"/>
          <w:tab w:val="left" w:pos="900"/>
        </w:tabs>
        <w:topLinePunct/>
        <w:spacing w:line="420" w:lineRule="atLeast"/>
        <w:rPr>
          <w:rFonts w:ascii="宋体"/>
          <w:b/>
          <w:bCs/>
          <w:szCs w:val="21"/>
          <w:highlight w:val="none"/>
        </w:rPr>
      </w:pPr>
    </w:p>
    <w:p>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附件二：法定代表人</w:t>
      </w:r>
      <w:r>
        <w:rPr>
          <w:rFonts w:hint="eastAsia" w:ascii="仿宋" w:hAnsi="仿宋" w:eastAsia="仿宋" w:cs="仿宋"/>
          <w:sz w:val="28"/>
          <w:szCs w:val="28"/>
          <w:highlight w:val="none"/>
        </w:rPr>
        <w:t>授权委托书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法定代表人</w:t>
      </w:r>
      <w:r>
        <w:rPr>
          <w:rFonts w:hint="eastAsia" w:ascii="宋体" w:hAnsi="宋体" w:eastAsia="宋体" w:cs="宋体"/>
          <w:b/>
          <w:sz w:val="36"/>
          <w:szCs w:val="36"/>
          <w:highlight w:val="none"/>
        </w:rPr>
        <w:t>授权委托书</w:t>
      </w:r>
    </w:p>
    <w:p>
      <w:pPr>
        <w:pStyle w:val="8"/>
        <w:pageBreakBefore w:val="0"/>
        <w:kinsoku/>
        <w:wordWrap/>
        <w:overflowPunct/>
        <w:topLinePunct w:val="0"/>
        <w:bidi w:val="0"/>
        <w:adjustRightInd/>
        <w:snapToGrid/>
        <w:spacing w:line="400" w:lineRule="exact"/>
        <w:ind w:left="0" w:leftChars="0" w:right="0" w:rightChars="0"/>
        <w:jc w:val="left"/>
        <w:rPr>
          <w:rFonts w:hAnsi="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本授权委托书声明：本人（姓名）系（单位全称）的法定代表人，现代表本公司授权我单位（部门、职务、姓名）作为本公司的合法代理人，以（单位名称）的名义参加南通</w:t>
      </w:r>
      <w:r>
        <w:rPr>
          <w:rFonts w:hint="eastAsia" w:ascii="仿宋" w:hAnsi="仿宋" w:eastAsia="仿宋" w:cs="仿宋"/>
          <w:sz w:val="24"/>
          <w:highlight w:val="none"/>
          <w:lang w:eastAsia="zh-CN"/>
        </w:rPr>
        <w:t>机场集团</w:t>
      </w:r>
      <w:r>
        <w:rPr>
          <w:rFonts w:hint="eastAsia" w:ascii="仿宋" w:hAnsi="仿宋" w:eastAsia="仿宋" w:cs="仿宋"/>
          <w:sz w:val="24"/>
          <w:highlight w:val="none"/>
        </w:rPr>
        <w:t>有限公司的</w:t>
      </w:r>
      <w:r>
        <w:rPr>
          <w:rFonts w:hint="eastAsia" w:ascii="仿宋" w:hAnsi="仿宋" w:eastAsia="仿宋" w:cs="仿宋"/>
          <w:sz w:val="24"/>
          <w:highlight w:val="none"/>
          <w:lang w:val="en-US" w:eastAsia="zh-CN"/>
        </w:rPr>
        <w:t>XXXX</w:t>
      </w:r>
      <w:r>
        <w:rPr>
          <w:rFonts w:hint="eastAsia" w:ascii="仿宋" w:hAnsi="仿宋" w:eastAsia="仿宋" w:cs="仿宋"/>
          <w:sz w:val="24"/>
          <w:highlight w:val="none"/>
        </w:rPr>
        <w:t>项目投标。授权代表签署与本次招标相关的一切文件和处理与之有关的一切事务，本</w:t>
      </w:r>
      <w:r>
        <w:rPr>
          <w:rFonts w:hint="eastAsia" w:ascii="仿宋" w:hAnsi="仿宋" w:eastAsia="仿宋" w:cs="仿宋"/>
          <w:sz w:val="24"/>
          <w:highlight w:val="none"/>
          <w:lang w:eastAsia="zh-CN"/>
        </w:rPr>
        <w:t>单位</w:t>
      </w:r>
      <w:r>
        <w:rPr>
          <w:rFonts w:hint="eastAsia" w:ascii="仿宋" w:hAnsi="仿宋" w:eastAsia="仿宋" w:cs="仿宋"/>
          <w:sz w:val="24"/>
          <w:highlight w:val="none"/>
        </w:rPr>
        <w:t>均予以承认。</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受托代理人</w:t>
      </w:r>
      <w:r>
        <w:rPr>
          <w:rFonts w:hint="eastAsia" w:ascii="仿宋" w:hAnsi="仿宋" w:eastAsia="仿宋" w:cs="仿宋"/>
          <w:sz w:val="24"/>
          <w:highlight w:val="none"/>
        </w:rPr>
        <w:t>无转委托权。</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本授权书于</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日签字或盖章后生效，特此声明。</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sz w:val="24"/>
          <w:highlight w:val="none"/>
        </w:rPr>
        <mc:AlternateContent>
          <mc:Choice Requires="wps">
            <w:drawing>
              <wp:anchor distT="0" distB="0" distL="114300" distR="114300" simplePos="0" relativeHeight="251659264" behindDoc="0" locked="0" layoutInCell="1" allowOverlap="1">
                <wp:simplePos x="0" y="0"/>
                <wp:positionH relativeFrom="column">
                  <wp:posOffset>1985010</wp:posOffset>
                </wp:positionH>
                <wp:positionV relativeFrom="paragraph">
                  <wp:posOffset>233045</wp:posOffset>
                </wp:positionV>
                <wp:extent cx="15621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5621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6.3pt;margin-top:18.35pt;height:0.05pt;width:123pt;z-index:251659264;mso-width-relative:page;mso-height-relative:page;" filled="f" stroked="t" coordsize="21600,21600" o:gfxdata="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XpuvXXAAAACQEAAA8AAAAAAAAAAQAgAAAAIgAAAGRycy9kb3ducmV2LnhtbFBLAQIU&#10;ABQAAAAIAIdO4kClrutP9AEAAOYDAAAOAAAAAAAAAAEAIAAAACY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sz w:val="24"/>
          <w:highlight w:val="none"/>
          <w:lang w:eastAsia="zh-CN"/>
        </w:rPr>
        <w:t>受托代理</w:t>
      </w:r>
      <w:r>
        <w:rPr>
          <w:rFonts w:hint="eastAsia" w:ascii="仿宋" w:hAnsi="仿宋" w:eastAsia="仿宋" w:cs="仿宋"/>
          <w:sz w:val="24"/>
          <w:highlight w:val="none"/>
        </w:rPr>
        <w:t>人（签字或盖章）：</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性别：      年龄：</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部门：      职务：    电话：</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投标单位（公章）：</w:t>
      </w: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法定代表人（签字或盖章）：</w:t>
      </w: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日期：年  月   日</w:t>
      </w:r>
    </w:p>
    <w:p>
      <w:pPr>
        <w:pStyle w:val="8"/>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p>
      <w:pPr>
        <w:pStyle w:val="8"/>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490" w:type="dxa"/>
            <w:noWrap w:val="0"/>
            <w:vAlign w:val="center"/>
          </w:tcPr>
          <w:p>
            <w:pPr>
              <w:pStyle w:val="8"/>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法定代表人身份证粘贴处</w:t>
            </w:r>
          </w:p>
        </w:tc>
        <w:tc>
          <w:tcPr>
            <w:tcW w:w="4490" w:type="dxa"/>
            <w:noWrap w:val="0"/>
            <w:vAlign w:val="center"/>
          </w:tcPr>
          <w:p>
            <w:pPr>
              <w:pStyle w:val="8"/>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受托代理人身份证粘贴处</w:t>
            </w:r>
          </w:p>
        </w:tc>
      </w:tr>
    </w:tbl>
    <w:p>
      <w:pPr>
        <w:pageBreakBefore w:val="0"/>
        <w:kinsoku/>
        <w:wordWrap/>
        <w:overflowPunct/>
        <w:topLinePunct w:val="0"/>
        <w:bidi w:val="0"/>
        <w:adjustRightInd/>
        <w:snapToGrid/>
        <w:spacing w:line="240" w:lineRule="auto"/>
        <w:ind w:left="0" w:leftChars="0" w:right="0" w:rightChars="0"/>
        <w:jc w:val="left"/>
        <w:outlineLvl w:val="9"/>
        <w:rPr>
          <w:rFonts w:hint="eastAsia" w:ascii="仿宋" w:hAnsi="仿宋" w:eastAsia="仿宋" w:cs="仿宋"/>
          <w:sz w:val="28"/>
          <w:szCs w:val="28"/>
          <w:highlight w:val="none"/>
          <w:lang w:eastAsia="zh-CN"/>
        </w:rPr>
      </w:pPr>
    </w:p>
    <w:p>
      <w:pPr>
        <w:pStyle w:val="4"/>
        <w:pageBreakBefore w:val="0"/>
        <w:kinsoku/>
        <w:wordWrap/>
        <w:overflowPunct/>
        <w:topLinePunct w:val="0"/>
        <w:bidi w:val="0"/>
        <w:adjustRightInd/>
        <w:snapToGrid/>
        <w:spacing w:line="240" w:lineRule="auto"/>
        <w:ind w:left="0" w:leftChars="0" w:right="0" w:rightChars="0"/>
        <w:jc w:val="left"/>
        <w:outlineLvl w:val="1"/>
        <w:rPr>
          <w:rFonts w:ascii="仿宋" w:hAnsi="仿宋" w:eastAsia="仿宋" w:cs="仿宋"/>
          <w:sz w:val="28"/>
          <w:szCs w:val="28"/>
          <w:highlight w:val="none"/>
        </w:rPr>
      </w:pPr>
      <w:r>
        <w:rPr>
          <w:rFonts w:hint="eastAsia" w:ascii="仿宋" w:hAnsi="仿宋" w:eastAsia="仿宋" w:cs="仿宋"/>
          <w:sz w:val="28"/>
          <w:szCs w:val="28"/>
          <w:highlight w:val="none"/>
          <w:lang w:eastAsia="zh-CN"/>
        </w:rPr>
        <w:t>附件三：</w:t>
      </w:r>
      <w:r>
        <w:rPr>
          <w:rFonts w:hint="eastAsia" w:ascii="仿宋" w:hAnsi="仿宋" w:eastAsia="仿宋" w:cs="仿宋"/>
          <w:sz w:val="28"/>
          <w:szCs w:val="28"/>
          <w:highlight w:val="none"/>
        </w:rPr>
        <w:t>报价单</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报价单</w:t>
      </w:r>
    </w:p>
    <w:tbl>
      <w:tblPr>
        <w:tblStyle w:val="1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0"/>
        <w:gridCol w:w="1537"/>
        <w:gridCol w:w="1375"/>
        <w:gridCol w:w="750"/>
        <w:gridCol w:w="990"/>
        <w:gridCol w:w="765"/>
        <w:gridCol w:w="1380"/>
        <w:gridCol w:w="1029"/>
        <w:gridCol w:w="7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序号</w:t>
            </w:r>
          </w:p>
        </w:tc>
        <w:tc>
          <w:tcPr>
            <w:tcW w:w="1537"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项目内容</w:t>
            </w:r>
          </w:p>
        </w:tc>
        <w:tc>
          <w:tcPr>
            <w:tcW w:w="1375"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规格型号</w:t>
            </w:r>
          </w:p>
        </w:tc>
        <w:tc>
          <w:tcPr>
            <w:tcW w:w="75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品牌</w:t>
            </w:r>
          </w:p>
        </w:tc>
        <w:tc>
          <w:tcPr>
            <w:tcW w:w="99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单位</w:t>
            </w:r>
          </w:p>
        </w:tc>
        <w:tc>
          <w:tcPr>
            <w:tcW w:w="765"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数量</w:t>
            </w:r>
          </w:p>
        </w:tc>
        <w:tc>
          <w:tcPr>
            <w:tcW w:w="138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单价（元）</w:t>
            </w:r>
          </w:p>
        </w:tc>
        <w:tc>
          <w:tcPr>
            <w:tcW w:w="1029"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highlight w:val="none"/>
              </w:rPr>
            </w:pPr>
            <w:r>
              <w:rPr>
                <w:rFonts w:hint="eastAsia" w:ascii="仿宋" w:hAnsi="仿宋" w:eastAsia="仿宋" w:cs="仿宋"/>
                <w:highlight w:val="none"/>
              </w:rPr>
              <w:t>金额</w:t>
            </w:r>
          </w:p>
        </w:tc>
        <w:tc>
          <w:tcPr>
            <w:tcW w:w="724"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1</w:t>
            </w:r>
          </w:p>
        </w:tc>
        <w:tc>
          <w:tcPr>
            <w:tcW w:w="1537" w:type="dxa"/>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中心管理服务节点（硬件部分）</w:t>
            </w:r>
          </w:p>
        </w:tc>
        <w:tc>
          <w:tcPr>
            <w:tcW w:w="137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5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99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6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38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2</w:t>
            </w:r>
          </w:p>
        </w:tc>
        <w:tc>
          <w:tcPr>
            <w:tcW w:w="1537" w:type="dxa"/>
            <w:noWrap w:val="0"/>
            <w:vAlign w:val="center"/>
          </w:tcPr>
          <w:p>
            <w:pPr>
              <w:pageBreakBefore w:val="0"/>
              <w:kinsoku/>
              <w:wordWrap/>
              <w:overflowPunct/>
              <w:topLinePunct w:val="0"/>
              <w:bidi w:val="0"/>
              <w:adjustRightInd/>
              <w:snapToGrid/>
              <w:ind w:left="0" w:leftChars="0" w:right="0" w:rightChars="0"/>
              <w:jc w:val="left"/>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综合监控平台升级扩容（软件 部分）</w:t>
            </w:r>
          </w:p>
        </w:tc>
        <w:tc>
          <w:tcPr>
            <w:tcW w:w="137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5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99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6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38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3</w:t>
            </w:r>
          </w:p>
        </w:tc>
        <w:tc>
          <w:tcPr>
            <w:tcW w:w="1537" w:type="dxa"/>
            <w:noWrap w:val="0"/>
            <w:vAlign w:val="center"/>
          </w:tcPr>
          <w:p>
            <w:pPr>
              <w:pageBreakBefore w:val="0"/>
              <w:kinsoku/>
              <w:wordWrap/>
              <w:overflowPunct/>
              <w:topLinePunct w:val="0"/>
              <w:bidi w:val="0"/>
              <w:adjustRightInd/>
              <w:snapToGrid/>
              <w:ind w:left="0" w:leftChars="0" w:right="0" w:rightChars="0"/>
              <w:jc w:val="left"/>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网络板卡</w:t>
            </w:r>
          </w:p>
        </w:tc>
        <w:tc>
          <w:tcPr>
            <w:tcW w:w="137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5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99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6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38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noWrap w:val="0"/>
            <w:vAlign w:val="center"/>
          </w:tcPr>
          <w:p>
            <w:pPr>
              <w:pageBreakBefore w:val="0"/>
              <w:kinsoku/>
              <w:wordWrap/>
              <w:overflowPunct/>
              <w:topLinePunct w:val="0"/>
              <w:bidi w:val="0"/>
              <w:adjustRightInd/>
              <w:snapToGrid/>
              <w:ind w:left="0" w:leftChars="0" w:right="0" w:rightChars="0"/>
              <w:jc w:val="left"/>
              <w:rPr>
                <w:rFonts w:ascii="仿宋" w:hAnsi="仿宋" w:eastAsia="仿宋" w:cs="仿宋"/>
                <w:spacing w:val="20"/>
                <w:szCs w:val="21"/>
                <w:highlight w:val="none"/>
              </w:rPr>
            </w:pPr>
            <w:r>
              <w:rPr>
                <w:rFonts w:hint="eastAsia" w:ascii="仿宋" w:hAnsi="仿宋" w:eastAsia="仿宋" w:cs="仿宋"/>
                <w:spacing w:val="20"/>
                <w:szCs w:val="21"/>
                <w:highlight w:val="none"/>
                <w:lang w:eastAsia="zh-CN"/>
              </w:rPr>
              <w:t>增值税税率</w:t>
            </w:r>
            <w:r>
              <w:rPr>
                <w:rFonts w:ascii="仿宋" w:hAnsi="仿宋" w:eastAsia="仿宋" w:cs="仿宋"/>
                <w:spacing w:val="20"/>
                <w:szCs w:val="21"/>
                <w:highlight w:val="none"/>
                <w:u w:val="single"/>
              </w:rPr>
              <w:t xml:space="preserve">                             </w:t>
            </w: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rPr>
            </w:pPr>
            <w:r>
              <w:rPr>
                <w:rFonts w:hint="eastAsia" w:ascii="仿宋" w:hAnsi="仿宋" w:eastAsia="仿宋" w:cs="仿宋"/>
                <w:spacing w:val="20"/>
                <w:szCs w:val="21"/>
                <w:highlight w:val="none"/>
                <w:u w:val="none"/>
                <w:lang w:val="en-US" w:eastAsia="zh-CN"/>
              </w:rPr>
              <w:t>不含税</w:t>
            </w:r>
            <w:r>
              <w:rPr>
                <w:rFonts w:hint="eastAsia" w:ascii="仿宋" w:hAnsi="仿宋" w:eastAsia="仿宋" w:cs="仿宋"/>
                <w:spacing w:val="20"/>
                <w:szCs w:val="21"/>
                <w:highlight w:val="none"/>
              </w:rPr>
              <w:t>合计：大写</w:t>
            </w: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eastAsia="zh-CN"/>
              </w:rPr>
            </w:pPr>
            <w:r>
              <w:rPr>
                <w:rFonts w:hint="eastAsia" w:ascii="仿宋" w:hAnsi="仿宋" w:eastAsia="仿宋" w:cs="仿宋"/>
                <w:spacing w:val="20"/>
                <w:szCs w:val="21"/>
                <w:highlight w:val="none"/>
                <w:lang w:eastAsia="zh-CN"/>
              </w:rPr>
              <w:t>含税合计：大写</w:t>
            </w: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tcBorders>
              <w:bottom w:val="double" w:color="auto" w:sz="4" w:space="0"/>
            </w:tcBorders>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eastAsia="zh-CN"/>
              </w:rPr>
            </w:pPr>
            <w:r>
              <w:rPr>
                <w:rFonts w:hint="eastAsia" w:ascii="仿宋" w:hAnsi="仿宋" w:eastAsia="仿宋" w:cs="仿宋"/>
                <w:spacing w:val="20"/>
                <w:szCs w:val="21"/>
                <w:highlight w:val="none"/>
                <w:lang w:eastAsia="zh-CN"/>
              </w:rPr>
              <w:t>最终报价：</w:t>
            </w:r>
          </w:p>
        </w:tc>
        <w:tc>
          <w:tcPr>
            <w:tcW w:w="1029" w:type="dxa"/>
            <w:tcBorders>
              <w:bottom w:val="double" w:color="auto" w:sz="4" w:space="0"/>
            </w:tcBorders>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tcBorders>
              <w:bottom w:val="double" w:color="auto" w:sz="4" w:space="0"/>
            </w:tcBorders>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bl>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lang w:eastAsia="zh-CN"/>
        </w:rPr>
      </w:pPr>
      <w:r>
        <w:rPr>
          <w:rFonts w:hint="eastAsia" w:ascii="仿宋" w:hAnsi="仿宋" w:eastAsia="仿宋" w:cs="仿宋"/>
          <w:sz w:val="24"/>
          <w:highlight w:val="none"/>
        </w:rPr>
        <w:t>备注：以上报价含税票、运送、安装、培训及其他所有费用。</w:t>
      </w:r>
      <w:r>
        <w:rPr>
          <w:rFonts w:hint="eastAsia" w:ascii="仿宋" w:hAnsi="仿宋" w:eastAsia="仿宋" w:cs="仿宋"/>
          <w:sz w:val="24"/>
          <w:highlight w:val="none"/>
          <w:lang w:eastAsia="zh-CN"/>
        </w:rPr>
        <w:t>最终报价</w:t>
      </w:r>
      <w:r>
        <w:rPr>
          <w:rFonts w:hint="eastAsia" w:ascii="仿宋" w:hAnsi="仿宋" w:eastAsia="仿宋" w:cs="仿宋"/>
          <w:sz w:val="24"/>
          <w:highlight w:val="none"/>
          <w:lang w:val="en-US" w:eastAsia="zh-CN"/>
        </w:rPr>
        <w:t>以现场电话报价为准</w:t>
      </w:r>
      <w:r>
        <w:rPr>
          <w:rFonts w:hint="eastAsia" w:ascii="仿宋" w:hAnsi="仿宋" w:eastAsia="仿宋" w:cs="仿宋"/>
          <w:sz w:val="24"/>
          <w:highlight w:val="none"/>
          <w:lang w:eastAsia="zh-CN"/>
        </w:rPr>
        <w:t>。</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响应供应商法定代表人（或法定代表人授权代表）签字：</w:t>
      </w:r>
      <w:r>
        <w:rPr>
          <w:rFonts w:ascii="仿宋" w:hAnsi="仿宋" w:eastAsia="仿宋" w:cs="仿宋"/>
          <w:sz w:val="24"/>
          <w:highlight w:val="none"/>
          <w:u w:val="single"/>
        </w:rPr>
        <w:t xml:space="preserve">                   </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响应供应商名称（盖章）：</w:t>
      </w:r>
      <w:r>
        <w:rPr>
          <w:rFonts w:ascii="仿宋" w:hAnsi="仿宋" w:eastAsia="仿宋" w:cs="仿宋"/>
          <w:sz w:val="24"/>
          <w:highlight w:val="none"/>
          <w:u w:val="single"/>
        </w:rPr>
        <w:t xml:space="preserve">                        </w:t>
      </w:r>
    </w:p>
    <w:p>
      <w:pPr>
        <w:pageBreakBefore w:val="0"/>
        <w:kinsoku/>
        <w:wordWrap/>
        <w:overflowPunct/>
        <w:topLinePunct w:val="0"/>
        <w:bidi w:val="0"/>
        <w:adjustRightInd/>
        <w:snapToGrid/>
        <w:ind w:left="0" w:leftChars="0" w:right="0" w:rightChars="0"/>
        <w:rPr>
          <w:rFonts w:ascii="仿宋" w:hAnsi="仿宋" w:eastAsia="仿宋" w:cs="仿宋"/>
          <w:sz w:val="24"/>
          <w:highlight w:val="none"/>
        </w:rPr>
      </w:pPr>
      <w:r>
        <w:rPr>
          <w:rFonts w:hint="eastAsia" w:ascii="仿宋" w:hAnsi="仿宋" w:eastAsia="仿宋" w:cs="仿宋"/>
          <w:sz w:val="24"/>
          <w:highlight w:val="none"/>
        </w:rPr>
        <w:t>日期：</w:t>
      </w:r>
      <w:r>
        <w:rPr>
          <w:rFonts w:ascii="仿宋" w:hAnsi="仿宋" w:eastAsia="仿宋" w:cs="仿宋"/>
          <w:sz w:val="24"/>
          <w:highlight w:val="none"/>
        </w:rPr>
        <w:t xml:space="preserve">   </w:t>
      </w:r>
      <w:r>
        <w:rPr>
          <w:rFonts w:hint="eastAsia" w:ascii="仿宋" w:hAnsi="仿宋" w:eastAsia="仿宋" w:cs="仿宋"/>
          <w:sz w:val="24"/>
          <w:highlight w:val="none"/>
        </w:rPr>
        <w:t>年</w:t>
      </w:r>
      <w:r>
        <w:rPr>
          <w:rFonts w:ascii="仿宋" w:hAnsi="仿宋" w:eastAsia="仿宋" w:cs="仿宋"/>
          <w:sz w:val="24"/>
          <w:highlight w:val="none"/>
        </w:rPr>
        <w:t xml:space="preserve">   </w:t>
      </w:r>
      <w:r>
        <w:rPr>
          <w:rFonts w:hint="eastAsia" w:ascii="仿宋" w:hAnsi="仿宋" w:eastAsia="仿宋" w:cs="仿宋"/>
          <w:sz w:val="24"/>
          <w:highlight w:val="none"/>
        </w:rPr>
        <w:t>月</w:t>
      </w:r>
      <w:r>
        <w:rPr>
          <w:rFonts w:ascii="仿宋" w:hAnsi="仿宋" w:eastAsia="仿宋" w:cs="仿宋"/>
          <w:sz w:val="24"/>
          <w:highlight w:val="none"/>
        </w:rPr>
        <w:t xml:space="preserve">   </w:t>
      </w:r>
      <w:r>
        <w:rPr>
          <w:rFonts w:hint="eastAsia" w:ascii="仿宋" w:hAnsi="仿宋" w:eastAsia="仿宋" w:cs="仿宋"/>
          <w:sz w:val="24"/>
          <w:highlight w:val="none"/>
        </w:rPr>
        <w:t>日</w:t>
      </w:r>
    </w:p>
    <w:p>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p>
    <w:p>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：投标函</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投标函</w:t>
      </w:r>
    </w:p>
    <w:p>
      <w:pPr>
        <w:pStyle w:val="8"/>
        <w:pageBreakBefore w:val="0"/>
        <w:kinsoku/>
        <w:wordWrap/>
        <w:overflowPunct/>
        <w:topLinePunct w:val="0"/>
        <w:bidi w:val="0"/>
        <w:adjustRightInd/>
        <w:snapToGrid/>
        <w:spacing w:line="400" w:lineRule="exact"/>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南通</w:t>
      </w:r>
      <w:r>
        <w:rPr>
          <w:rFonts w:hint="eastAsia" w:ascii="仿宋" w:hAnsi="仿宋" w:eastAsia="仿宋" w:cs="仿宋"/>
          <w:sz w:val="24"/>
          <w:szCs w:val="24"/>
          <w:highlight w:val="none"/>
          <w:u w:val="single"/>
          <w:lang w:eastAsia="zh-CN"/>
        </w:rPr>
        <w:t>机场集团</w:t>
      </w:r>
      <w:r>
        <w:rPr>
          <w:rFonts w:hint="eastAsia" w:ascii="仿宋" w:hAnsi="仿宋" w:eastAsia="仿宋" w:cs="仿宋"/>
          <w:sz w:val="24"/>
          <w:szCs w:val="24"/>
          <w:highlight w:val="none"/>
          <w:u w:val="single"/>
        </w:rPr>
        <w:t>有限公司</w:t>
      </w:r>
      <w:r>
        <w:rPr>
          <w:rFonts w:hint="eastAsia" w:ascii="仿宋" w:hAnsi="仿宋" w:eastAsia="仿宋" w:cs="仿宋"/>
          <w:sz w:val="24"/>
          <w:szCs w:val="24"/>
          <w:highlight w:val="none"/>
        </w:rPr>
        <w:t>：</w:t>
      </w:r>
    </w:p>
    <w:p>
      <w:pPr>
        <w:pStyle w:val="8"/>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根据贵方</w:t>
      </w:r>
      <w:r>
        <w:rPr>
          <w:rFonts w:hint="eastAsia" w:ascii="仿宋" w:hAnsi="仿宋" w:eastAsia="仿宋" w:cs="仿宋"/>
          <w:sz w:val="24"/>
          <w:szCs w:val="24"/>
          <w:highlight w:val="none"/>
          <w:u w:val="single"/>
          <w:lang w:val="en-US" w:eastAsia="zh-CN"/>
        </w:rPr>
        <w:t>XXXX</w:t>
      </w: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eastAsia="zh-CN"/>
        </w:rPr>
        <w:t>采购公告</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招标编号</w:t>
      </w:r>
      <w:r>
        <w:rPr>
          <w:rFonts w:hint="eastAsia" w:ascii="仿宋" w:hAnsi="仿宋" w:eastAsia="仿宋" w:cs="仿宋"/>
          <w:sz w:val="24"/>
          <w:szCs w:val="24"/>
          <w:highlight w:val="none"/>
          <w:u w:val="single"/>
          <w:lang w:eastAsia="zh-CN"/>
        </w:rPr>
        <w:t>XXXX-XX-202XXXX</w:t>
      </w:r>
      <w:r>
        <w:rPr>
          <w:rFonts w:hint="eastAsia" w:ascii="仿宋" w:hAnsi="仿宋" w:eastAsia="仿宋" w:cs="仿宋"/>
          <w:sz w:val="24"/>
          <w:szCs w:val="24"/>
          <w:highlight w:val="none"/>
        </w:rPr>
        <w:t>），签字代表</w:t>
      </w:r>
      <w:r>
        <w:rPr>
          <w:rFonts w:hint="eastAsia" w:ascii="仿宋" w:hAnsi="仿宋" w:eastAsia="仿宋" w:cs="仿宋"/>
          <w:sz w:val="24"/>
          <w:szCs w:val="24"/>
          <w:highlight w:val="none"/>
          <w:u w:val="single"/>
        </w:rPr>
        <w:t>（姓名、职务）</w:t>
      </w:r>
      <w:r>
        <w:rPr>
          <w:rFonts w:hint="eastAsia" w:ascii="仿宋" w:hAnsi="仿宋" w:eastAsia="仿宋" w:cs="仿宋"/>
          <w:sz w:val="24"/>
          <w:szCs w:val="24"/>
          <w:highlight w:val="none"/>
        </w:rPr>
        <w:t>经正式授权并代表</w:t>
      </w:r>
      <w:r>
        <w:rPr>
          <w:rFonts w:hint="eastAsia" w:ascii="仿宋" w:hAnsi="仿宋" w:eastAsia="仿宋" w:cs="仿宋"/>
          <w:sz w:val="24"/>
          <w:szCs w:val="24"/>
          <w:highlight w:val="none"/>
          <w:lang w:eastAsia="zh-CN"/>
        </w:rPr>
        <w:t>磋商响应人</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响应供应商</w:t>
      </w:r>
      <w:r>
        <w:rPr>
          <w:rFonts w:hint="eastAsia" w:ascii="仿宋" w:hAnsi="仿宋" w:eastAsia="仿宋" w:cs="仿宋"/>
          <w:sz w:val="24"/>
          <w:szCs w:val="24"/>
          <w:highlight w:val="none"/>
          <w:u w:val="single"/>
        </w:rPr>
        <w:t>名称、地址）</w:t>
      </w:r>
      <w:r>
        <w:rPr>
          <w:rFonts w:hint="eastAsia" w:ascii="仿宋" w:hAnsi="仿宋" w:eastAsia="仿宋" w:cs="仿宋"/>
          <w:sz w:val="24"/>
          <w:szCs w:val="24"/>
          <w:highlight w:val="none"/>
        </w:rPr>
        <w:t>提交</w:t>
      </w:r>
      <w:r>
        <w:rPr>
          <w:rFonts w:hint="eastAsia" w:ascii="仿宋" w:hAnsi="仿宋" w:eastAsia="仿宋" w:cs="仿宋"/>
          <w:sz w:val="24"/>
          <w:szCs w:val="24"/>
          <w:highlight w:val="none"/>
          <w:lang w:eastAsia="zh-CN"/>
        </w:rPr>
        <w:t>响应文件</w:t>
      </w:r>
      <w:r>
        <w:rPr>
          <w:rFonts w:hint="eastAsia" w:ascii="仿宋" w:hAnsi="仿宋" w:eastAsia="仿宋" w:cs="仿宋"/>
          <w:color w:val="auto"/>
          <w:sz w:val="24"/>
          <w:szCs w:val="24"/>
          <w:highlight w:val="none"/>
        </w:rPr>
        <w:t>正本一份及副本一份</w:t>
      </w:r>
      <w:r>
        <w:rPr>
          <w:rFonts w:hint="eastAsia" w:ascii="仿宋" w:hAnsi="仿宋" w:eastAsia="仿宋" w:cs="仿宋"/>
          <w:sz w:val="24"/>
          <w:szCs w:val="24"/>
          <w:highlight w:val="none"/>
        </w:rPr>
        <w:t>（包括</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要求提供的全部资料）；</w:t>
      </w:r>
    </w:p>
    <w:p>
      <w:pPr>
        <w:pStyle w:val="8"/>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据此函，签字代表宣布同意如下：</w:t>
      </w:r>
    </w:p>
    <w:p>
      <w:pPr>
        <w:pStyle w:val="8"/>
        <w:pageBreakBefore w:val="0"/>
        <w:kinsoku/>
        <w:wordWrap/>
        <w:overflowPunct/>
        <w:topLinePunct w:val="0"/>
        <w:bidi w:val="0"/>
        <w:adjustRightInd/>
        <w:snapToGrid/>
        <w:spacing w:line="400" w:lineRule="exact"/>
        <w:ind w:left="0" w:leftChars="0" w:right="0" w:rightChars="0" w:firstLine="475" w:firstLineChars="198"/>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1．所附投标价格表中规定的</w:t>
      </w:r>
      <w:r>
        <w:rPr>
          <w:rFonts w:hint="eastAsia" w:ascii="仿宋" w:hAnsi="仿宋" w:eastAsia="仿宋" w:cs="仿宋"/>
          <w:sz w:val="24"/>
          <w:szCs w:val="24"/>
          <w:highlight w:val="none"/>
          <w:lang w:eastAsia="zh-CN"/>
        </w:rPr>
        <w:t>项目</w:t>
      </w:r>
      <w:r>
        <w:rPr>
          <w:rFonts w:hint="eastAsia" w:ascii="仿宋" w:hAnsi="仿宋" w:eastAsia="仿宋" w:cs="仿宋"/>
          <w:sz w:val="24"/>
          <w:szCs w:val="24"/>
          <w:highlight w:val="none"/>
        </w:rPr>
        <w:t>投标总价为</w:t>
      </w:r>
      <w:r>
        <w:rPr>
          <w:rFonts w:hint="eastAsia" w:ascii="仿宋" w:hAnsi="仿宋" w:eastAsia="仿宋" w:cs="仿宋"/>
          <w:sz w:val="24"/>
          <w:szCs w:val="24"/>
          <w:highlight w:val="none"/>
          <w:u w:val="single"/>
        </w:rPr>
        <w:t>（注明币种，并用文字和数字表示的投标总价）。</w:t>
      </w:r>
    </w:p>
    <w:p>
      <w:pPr>
        <w:pStyle w:val="8"/>
        <w:pageBreakBefore w:val="0"/>
        <w:kinsoku/>
        <w:wordWrap/>
        <w:overflowPunct/>
        <w:topLinePunct w:val="0"/>
        <w:bidi w:val="0"/>
        <w:adjustRightInd/>
        <w:snapToGrid/>
        <w:spacing w:line="400" w:lineRule="exact"/>
        <w:ind w:left="0" w:leftChars="0" w:right="0" w:righ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2．我方已详细审查全部</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，包括有关澄清和补充说明（如果有的话）。我们完全理解并同意放弃对这方面有不明及误解的权力。</w:t>
      </w:r>
    </w:p>
    <w:p>
      <w:pPr>
        <w:pStyle w:val="8"/>
        <w:pageBreakBefore w:val="0"/>
        <w:kinsoku/>
        <w:wordWrap/>
        <w:overflowPunct/>
        <w:topLinePunct w:val="0"/>
        <w:bidi w:val="0"/>
        <w:adjustRightInd/>
        <w:snapToGrid/>
        <w:spacing w:line="400" w:lineRule="exact"/>
        <w:ind w:left="0" w:leftChars="0" w:right="0" w:rightChars="0" w:firstLine="475" w:firstLineChars="198"/>
        <w:rPr>
          <w:rFonts w:hint="eastAsia" w:ascii="仿宋" w:hAnsi="仿宋" w:eastAsia="仿宋" w:cs="仿宋"/>
          <w:sz w:val="24"/>
          <w:szCs w:val="24"/>
          <w:highlight w:val="none"/>
        </w:rPr>
      </w:pPr>
      <w:r>
        <w:rPr>
          <w:rFonts w:hint="eastAsia" w:ascii="仿宋" w:hAnsi="仿宋" w:eastAsia="仿宋" w:cs="仿宋"/>
          <w:sz w:val="24"/>
          <w:szCs w:val="24"/>
          <w:highlight w:val="none"/>
        </w:rPr>
        <w:t>3．本</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有效期为自开标日起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XX</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个日历日。在这期间，本</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将始终对我方具有约束力，并可随时被接受。本次</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和本</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（含承诺书）将作为买卖合同的附件。</w:t>
      </w:r>
    </w:p>
    <w:p>
      <w:pPr>
        <w:pStyle w:val="8"/>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4．如果在规定的开标时间后，我方在投标有效期内撤回投标，其投标保证金将被贵方没收。</w:t>
      </w:r>
    </w:p>
    <w:p>
      <w:pPr>
        <w:pStyle w:val="8"/>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5．我方愿意向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提供任何与本次招标相关的其他资料。</w:t>
      </w:r>
    </w:p>
    <w:p>
      <w:pPr>
        <w:pStyle w:val="8"/>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6．我方将严格履行本</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中的全部承诺和责任，并遵守</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中对</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的所有规定。</w:t>
      </w:r>
    </w:p>
    <w:p>
      <w:pPr>
        <w:pStyle w:val="8"/>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7．如果我方中标，将派出（姓名）作为本项目的项目负责人（或项目经理）。</w:t>
      </w:r>
    </w:p>
    <w:p>
      <w:pPr>
        <w:pStyle w:val="8"/>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8．如果我方中标，我们将在合同签订生效后按合同约定施工。并将按</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的规定履行合同责任和义务。</w:t>
      </w:r>
    </w:p>
    <w:p>
      <w:pPr>
        <w:pStyle w:val="8"/>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10．如果我们中标，我们将按</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的规定支付中标的有关服务费。</w:t>
      </w:r>
    </w:p>
    <w:p>
      <w:pPr>
        <w:pStyle w:val="8"/>
        <w:pageBreakBefore w:val="0"/>
        <w:kinsoku/>
        <w:wordWrap/>
        <w:overflowPunct/>
        <w:topLinePunct w:val="0"/>
        <w:bidi w:val="0"/>
        <w:adjustRightInd/>
        <w:snapToGrid/>
        <w:spacing w:line="400" w:lineRule="exact"/>
        <w:ind w:left="0" w:leftChars="0" w:right="0" w:rightChars="0" w:firstLine="672" w:firstLineChars="280"/>
        <w:rPr>
          <w:rFonts w:hint="eastAsia" w:ascii="仿宋" w:hAnsi="仿宋" w:eastAsia="仿宋" w:cs="仿宋"/>
          <w:sz w:val="24"/>
          <w:szCs w:val="24"/>
          <w:highlight w:val="none"/>
        </w:rPr>
      </w:pPr>
      <w:r>
        <w:rPr>
          <w:rFonts w:hint="eastAsia" w:ascii="仿宋" w:hAnsi="仿宋" w:eastAsia="仿宋" w:cs="仿宋"/>
          <w:sz w:val="24"/>
          <w:szCs w:val="24"/>
          <w:highlight w:val="none"/>
        </w:rPr>
        <w:t>11.与本次投标有关的一切往来信函请寄：</w:t>
      </w:r>
    </w:p>
    <w:p>
      <w:pPr>
        <w:pStyle w:val="8"/>
        <w:pageBreakBefore w:val="0"/>
        <w:kinsoku/>
        <w:wordWrap/>
        <w:overflowPunct/>
        <w:topLinePunct w:val="0"/>
        <w:bidi w:val="0"/>
        <w:adjustRightInd/>
        <w:snapToGrid/>
        <w:spacing w:line="400" w:lineRule="exact"/>
        <w:ind w:left="0" w:leftChars="0" w:right="0" w:rightChars="0"/>
        <w:rPr>
          <w:rFonts w:hint="eastAsia" w:ascii="仿宋" w:hAnsi="仿宋" w:eastAsia="仿宋" w:cs="仿宋"/>
          <w:sz w:val="24"/>
          <w:szCs w:val="24"/>
          <w:highlight w:val="none"/>
        </w:rPr>
      </w:pPr>
    </w:p>
    <w:p>
      <w:pPr>
        <w:pStyle w:val="8"/>
        <w:pageBreakBefore w:val="0"/>
        <w:kinsoku/>
        <w:wordWrap/>
        <w:overflowPunct/>
        <w:topLinePunct w:val="0"/>
        <w:bidi w:val="0"/>
        <w:adjustRightInd/>
        <w:snapToGrid/>
        <w:spacing w:line="400" w:lineRule="exact"/>
        <w:ind w:left="0" w:leftChars="0" w:right="0" w:rightChars="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地址：                       邮编：</w:t>
      </w:r>
    </w:p>
    <w:p>
      <w:pPr>
        <w:pStyle w:val="8"/>
        <w:pageBreakBefore w:val="0"/>
        <w:kinsoku/>
        <w:wordWrap/>
        <w:overflowPunct/>
        <w:topLinePunct w:val="0"/>
        <w:bidi w:val="0"/>
        <w:adjustRightInd/>
        <w:snapToGrid/>
        <w:spacing w:line="400" w:lineRule="exact"/>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联系人：                     电话：</w:t>
      </w:r>
    </w:p>
    <w:p>
      <w:pPr>
        <w:pStyle w:val="8"/>
        <w:pageBreakBefore w:val="0"/>
        <w:kinsoku/>
        <w:wordWrap/>
        <w:overflowPunct/>
        <w:topLinePunct w:val="0"/>
        <w:bidi w:val="0"/>
        <w:adjustRightInd/>
        <w:snapToGrid/>
        <w:spacing w:line="400" w:lineRule="exact"/>
        <w:ind w:left="0" w:leftChars="0" w:right="0" w:rightChars="0"/>
        <w:rPr>
          <w:rFonts w:hint="eastAsia" w:ascii="仿宋" w:hAnsi="仿宋" w:eastAsia="仿宋" w:cs="仿宋"/>
          <w:sz w:val="24"/>
          <w:szCs w:val="24"/>
          <w:highlight w:val="none"/>
        </w:rPr>
      </w:pPr>
    </w:p>
    <w:p>
      <w:pPr>
        <w:pStyle w:val="8"/>
        <w:pageBreakBefore w:val="0"/>
        <w:tabs>
          <w:tab w:val="left" w:pos="5665"/>
          <w:tab w:val="right" w:pos="8360"/>
        </w:tabs>
        <w:kinsoku/>
        <w:wordWrap/>
        <w:overflowPunct/>
        <w:topLinePunct w:val="0"/>
        <w:bidi w:val="0"/>
        <w:adjustRightInd/>
        <w:snapToGrid/>
        <w:spacing w:line="400" w:lineRule="exact"/>
        <w:ind w:left="0" w:leftChars="0" w:right="0" w:rightChars="0" w:firstLine="600" w:firstLineChars="250"/>
        <w:jc w:val="center"/>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法人代表或授权代表签字：</w:t>
      </w:r>
    </w:p>
    <w:p>
      <w:pPr>
        <w:pStyle w:val="8"/>
        <w:pageBreakBefore w:val="0"/>
        <w:tabs>
          <w:tab w:val="left" w:pos="5665"/>
          <w:tab w:val="right" w:pos="8360"/>
        </w:tabs>
        <w:kinsoku/>
        <w:wordWrap/>
        <w:overflowPunct/>
        <w:topLinePunct w:val="0"/>
        <w:bidi w:val="0"/>
        <w:adjustRightInd/>
        <w:snapToGrid/>
        <w:spacing w:line="400" w:lineRule="exact"/>
        <w:ind w:left="0" w:leftChars="0" w:right="0" w:rightChars="0" w:firstLine="600" w:firstLineChars="250"/>
        <w:jc w:val="center"/>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盖</w:t>
      </w:r>
      <w:r>
        <w:rPr>
          <w:rFonts w:hint="eastAsia" w:ascii="仿宋" w:hAnsi="仿宋" w:eastAsia="仿宋" w:cs="仿宋"/>
          <w:sz w:val="24"/>
          <w:szCs w:val="24"/>
          <w:highlight w:val="none"/>
        </w:rPr>
        <w:t>章)</w:t>
      </w:r>
    </w:p>
    <w:p>
      <w:pPr>
        <w:pStyle w:val="8"/>
        <w:pageBreakBefore w:val="0"/>
        <w:tabs>
          <w:tab w:val="left" w:pos="5665"/>
          <w:tab w:val="right" w:pos="8360"/>
        </w:tabs>
        <w:kinsoku/>
        <w:wordWrap/>
        <w:overflowPunct/>
        <w:topLinePunct w:val="0"/>
        <w:bidi w:val="0"/>
        <w:adjustRightInd/>
        <w:snapToGrid/>
        <w:spacing w:line="400" w:lineRule="exact"/>
        <w:ind w:left="0" w:leftChars="0" w:right="0" w:rightChars="0" w:firstLine="600" w:firstLineChars="250"/>
        <w:jc w:val="center"/>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日</w:t>
      </w:r>
    </w:p>
    <w:p>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五</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磋商响应人</w:t>
      </w:r>
      <w:r>
        <w:rPr>
          <w:rFonts w:hint="eastAsia" w:ascii="仿宋" w:hAnsi="仿宋" w:eastAsia="仿宋" w:cs="仿宋"/>
          <w:sz w:val="28"/>
          <w:szCs w:val="28"/>
          <w:highlight w:val="none"/>
        </w:rPr>
        <w:t>承诺书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cs="宋体"/>
          <w:b/>
          <w:sz w:val="36"/>
          <w:szCs w:val="36"/>
          <w:highlight w:val="none"/>
          <w:lang w:eastAsia="zh-CN"/>
        </w:rPr>
        <w:t>磋商响应人</w:t>
      </w:r>
      <w:r>
        <w:rPr>
          <w:rFonts w:hint="eastAsia" w:ascii="宋体" w:hAnsi="宋体" w:eastAsia="宋体" w:cs="宋体"/>
          <w:b/>
          <w:sz w:val="36"/>
          <w:szCs w:val="36"/>
          <w:highlight w:val="none"/>
        </w:rPr>
        <w:t>承诺书</w:t>
      </w:r>
    </w:p>
    <w:p>
      <w:pPr>
        <w:pageBreakBefore w:val="0"/>
        <w:kinsoku/>
        <w:wordWrap/>
        <w:overflowPunct/>
        <w:topLinePunct w:val="0"/>
        <w:autoSpaceDE w:val="0"/>
        <w:autoSpaceDN w:val="0"/>
        <w:bidi w:val="0"/>
        <w:adjustRightInd/>
        <w:snapToGrid/>
        <w:spacing w:before="64" w:line="360" w:lineRule="auto"/>
        <w:ind w:left="0" w:leftChars="0" w:right="0" w:rightChars="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致： 南通</w:t>
      </w:r>
      <w:r>
        <w:rPr>
          <w:rFonts w:hint="eastAsia" w:ascii="仿宋" w:hAnsi="仿宋" w:eastAsia="仿宋" w:cs="仿宋"/>
          <w:color w:val="000000"/>
          <w:kern w:val="0"/>
          <w:sz w:val="24"/>
          <w:szCs w:val="24"/>
          <w:highlight w:val="none"/>
          <w:lang w:eastAsia="zh-CN"/>
        </w:rPr>
        <w:t>机场集团</w:t>
      </w:r>
      <w:r>
        <w:rPr>
          <w:rFonts w:hint="eastAsia" w:ascii="仿宋" w:hAnsi="仿宋" w:eastAsia="仿宋" w:cs="仿宋"/>
          <w:color w:val="000000"/>
          <w:kern w:val="0"/>
          <w:sz w:val="24"/>
          <w:szCs w:val="24"/>
          <w:highlight w:val="none"/>
        </w:rPr>
        <w:t>有限公司</w:t>
      </w:r>
    </w:p>
    <w:p>
      <w:pPr>
        <w:pStyle w:val="8"/>
        <w:pageBreakBefore w:val="0"/>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我公司自愿参加贵单位</w:t>
      </w:r>
      <w:r>
        <w:rPr>
          <w:rFonts w:hint="eastAsia" w:ascii="仿宋" w:hAnsi="仿宋" w:eastAsia="仿宋" w:cs="仿宋"/>
          <w:sz w:val="24"/>
          <w:szCs w:val="24"/>
          <w:highlight w:val="none"/>
          <w:u w:val="single"/>
          <w:lang w:val="en-US" w:eastAsia="zh-CN"/>
        </w:rPr>
        <w:t>XXXX</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项目的</w:t>
      </w:r>
      <w:r>
        <w:rPr>
          <w:rFonts w:hint="eastAsia" w:ascii="仿宋" w:hAnsi="仿宋" w:eastAsia="仿宋" w:cs="仿宋"/>
          <w:sz w:val="24"/>
          <w:szCs w:val="24"/>
          <w:highlight w:val="none"/>
          <w:lang w:eastAsia="zh-CN"/>
        </w:rPr>
        <w:t>采购活动</w:t>
      </w:r>
      <w:r>
        <w:rPr>
          <w:rFonts w:hint="eastAsia" w:ascii="仿宋" w:hAnsi="仿宋" w:eastAsia="仿宋" w:cs="仿宋"/>
          <w:sz w:val="24"/>
          <w:szCs w:val="24"/>
          <w:highlight w:val="none"/>
        </w:rPr>
        <w:t>，在此我公司承诺：</w:t>
      </w:r>
    </w:p>
    <w:p>
      <w:pPr>
        <w:pStyle w:val="8"/>
        <w:pageBreakBefore w:val="0"/>
        <w:numPr>
          <w:ilvl w:val="0"/>
          <w:numId w:val="2"/>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根据贵单位（南通</w:t>
      </w:r>
      <w:r>
        <w:rPr>
          <w:rFonts w:hint="eastAsia" w:ascii="仿宋" w:hAnsi="仿宋" w:eastAsia="仿宋" w:cs="仿宋"/>
          <w:sz w:val="24"/>
          <w:szCs w:val="24"/>
          <w:highlight w:val="none"/>
          <w:lang w:eastAsia="zh-CN"/>
        </w:rPr>
        <w:t>机场集团</w:t>
      </w:r>
      <w:r>
        <w:rPr>
          <w:rFonts w:hint="eastAsia" w:ascii="仿宋" w:hAnsi="仿宋" w:eastAsia="仿宋" w:cs="仿宋"/>
          <w:sz w:val="24"/>
          <w:szCs w:val="24"/>
          <w:highlight w:val="none"/>
        </w:rPr>
        <w:t>有限公司）提出的资格审查合格条件标准和要求</w:t>
      </w:r>
      <w:r>
        <w:rPr>
          <w:rFonts w:hint="eastAsia" w:ascii="仿宋" w:hAnsi="仿宋" w:eastAsia="仿宋" w:cs="仿宋"/>
          <w:sz w:val="24"/>
          <w:szCs w:val="24"/>
          <w:highlight w:val="none"/>
          <w:lang w:eastAsia="zh-CN"/>
        </w:rPr>
        <w:t>；</w:t>
      </w:r>
    </w:p>
    <w:p>
      <w:pPr>
        <w:pStyle w:val="8"/>
        <w:pageBreakBefore w:val="0"/>
        <w:numPr>
          <w:ilvl w:val="0"/>
          <w:numId w:val="2"/>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本公司企业财务和经营状况良好，具备履行合同能力</w:t>
      </w:r>
      <w:r>
        <w:rPr>
          <w:rFonts w:hint="eastAsia" w:ascii="仿宋" w:hAnsi="仿宋" w:eastAsia="仿宋" w:cs="仿宋"/>
          <w:sz w:val="24"/>
          <w:szCs w:val="24"/>
          <w:highlight w:val="none"/>
          <w:lang w:eastAsia="zh-CN"/>
        </w:rPr>
        <w:t>；</w:t>
      </w:r>
    </w:p>
    <w:p>
      <w:pPr>
        <w:pStyle w:val="8"/>
        <w:pageBreakBefore w:val="0"/>
        <w:numPr>
          <w:ilvl w:val="0"/>
          <w:numId w:val="2"/>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近三年内无不良经营行为，未处于被责令停业，投标资格被取消或者财产被接管，冻结和破产状态；</w:t>
      </w:r>
    </w:p>
    <w:p>
      <w:pPr>
        <w:pStyle w:val="8"/>
        <w:pageBreakBefore w:val="0"/>
        <w:numPr>
          <w:ilvl w:val="0"/>
          <w:numId w:val="2"/>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没有因骗取中标或者严重违约以及发生重大质量、安全生产事故等问题，被有关部门暂停投标资格并在暂停期内的</w:t>
      </w:r>
      <w:r>
        <w:rPr>
          <w:rFonts w:hint="eastAsia" w:ascii="仿宋" w:hAnsi="仿宋" w:eastAsia="仿宋" w:cs="仿宋"/>
          <w:sz w:val="24"/>
          <w:szCs w:val="24"/>
          <w:highlight w:val="none"/>
          <w:lang w:eastAsia="zh-CN"/>
        </w:rPr>
        <w:t>；</w:t>
      </w:r>
    </w:p>
    <w:p>
      <w:pPr>
        <w:pStyle w:val="8"/>
        <w:pageBreakBefore w:val="0"/>
        <w:numPr>
          <w:ilvl w:val="0"/>
          <w:numId w:val="2"/>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未被“信用中国”等列入失信被执行人、企业经营异常名录、重大税收违法案件当事人名单、政府采购严重违法失信名单、没有因违反招投标规定被行政处罚且在公示期内</w:t>
      </w:r>
      <w:r>
        <w:rPr>
          <w:rFonts w:hint="eastAsia" w:ascii="仿宋" w:hAnsi="仿宋" w:eastAsia="仿宋" w:cs="仿宋"/>
          <w:sz w:val="24"/>
          <w:szCs w:val="24"/>
          <w:highlight w:val="none"/>
          <w:lang w:eastAsia="zh-CN"/>
        </w:rPr>
        <w:t>；</w:t>
      </w:r>
    </w:p>
    <w:p>
      <w:pPr>
        <w:pStyle w:val="8"/>
        <w:pageBreakBefore w:val="0"/>
        <w:numPr>
          <w:ilvl w:val="0"/>
          <w:numId w:val="2"/>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本公司递交的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中的内容没有隐瞒、虚假、伪造等弄虚作假行为。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发现我公司有以上行为，贵公司可以拒绝我公司</w:t>
      </w:r>
      <w:r>
        <w:rPr>
          <w:rFonts w:hint="eastAsia" w:ascii="仿宋" w:hAnsi="仿宋" w:eastAsia="仿宋" w:cs="仿宋"/>
          <w:sz w:val="24"/>
          <w:szCs w:val="24"/>
          <w:highlight w:val="none"/>
          <w:lang w:eastAsia="zh-CN"/>
        </w:rPr>
        <w:t>的响应文件</w:t>
      </w:r>
      <w:r>
        <w:rPr>
          <w:rFonts w:hint="eastAsia" w:ascii="仿宋" w:hAnsi="仿宋" w:eastAsia="仿宋" w:cs="仿宋"/>
          <w:sz w:val="24"/>
          <w:szCs w:val="24"/>
          <w:highlight w:val="none"/>
        </w:rPr>
        <w:t>，如已</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，可取消我公司</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资格，并接受行政主管部门对我公司弄虚作假、违反公平和诚实信用原则做出的任何处理。</w:t>
      </w: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磋商响应人</w:t>
      </w:r>
      <w:r>
        <w:rPr>
          <w:rFonts w:hint="eastAsia" w:ascii="宋体" w:hAnsi="宋体" w:eastAsia="宋体" w:cs="宋体"/>
          <w:kern w:val="2"/>
          <w:sz w:val="21"/>
          <w:szCs w:val="21"/>
          <w:highlight w:val="none"/>
          <w:lang w:val="en-US" w:eastAsia="zh-CN" w:bidi="ar-SA"/>
        </w:rPr>
        <w:t>名称（盖章）：</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日期：</w:t>
      </w:r>
    </w:p>
    <w:p>
      <w:pPr>
        <w:pStyle w:val="4"/>
        <w:spacing w:line="240" w:lineRule="auto"/>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六</w:t>
      </w:r>
      <w:r>
        <w:rPr>
          <w:rFonts w:hint="eastAsia" w:ascii="仿宋" w:hAnsi="仿宋" w:eastAsia="仿宋" w:cs="仿宋"/>
          <w:sz w:val="28"/>
          <w:szCs w:val="28"/>
          <w:highlight w:val="none"/>
        </w:rPr>
        <w:t>：技术参数偏离表</w:t>
      </w:r>
    </w:p>
    <w:p>
      <w:pPr>
        <w:jc w:val="center"/>
        <w:rPr>
          <w:rFonts w:hint="eastAsia" w:ascii="宋体" w:hAnsi="宋体" w:cs="宋体"/>
          <w:b/>
          <w:bCs/>
          <w:sz w:val="36"/>
          <w:szCs w:val="36"/>
          <w:highlight w:val="none"/>
        </w:rPr>
      </w:pPr>
      <w:r>
        <w:rPr>
          <w:rFonts w:hint="eastAsia" w:ascii="宋体" w:hAnsi="宋体" w:cs="宋体"/>
          <w:b/>
          <w:bCs/>
          <w:sz w:val="36"/>
          <w:szCs w:val="36"/>
          <w:highlight w:val="none"/>
        </w:rPr>
        <w:t>技术参数偏离表</w:t>
      </w:r>
    </w:p>
    <w:p>
      <w:pPr>
        <w:rPr>
          <w:rFonts w:hint="eastAsia" w:ascii="仿宋" w:hAnsi="仿宋" w:eastAsia="仿宋" w:cs="仿宋"/>
          <w:sz w:val="24"/>
          <w:szCs w:val="24"/>
          <w:highlight w:val="none"/>
          <w:lang w:eastAsia="zh-CN"/>
        </w:rPr>
      </w:pPr>
    </w:p>
    <w:p>
      <w:pP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编号：标段号（如果有的话）：</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41"/>
        <w:gridCol w:w="1756"/>
        <w:gridCol w:w="1890"/>
        <w:gridCol w:w="193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8"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741"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货物名称</w:t>
            </w:r>
          </w:p>
        </w:tc>
        <w:tc>
          <w:tcPr>
            <w:tcW w:w="1756"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条目号</w:t>
            </w:r>
          </w:p>
        </w:tc>
        <w:tc>
          <w:tcPr>
            <w:tcW w:w="1890" w:type="dxa"/>
            <w:noWrap w:val="0"/>
            <w:vAlign w:val="center"/>
          </w:tcPr>
          <w:p>
            <w:pPr>
              <w:ind w:left="151" w:hanging="172" w:hangingChars="7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招标技术规格</w:t>
            </w:r>
          </w:p>
        </w:tc>
        <w:tc>
          <w:tcPr>
            <w:tcW w:w="1935"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投标技术规格</w:t>
            </w:r>
          </w:p>
        </w:tc>
        <w:tc>
          <w:tcPr>
            <w:tcW w:w="1680"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8" w:type="dxa"/>
            <w:noWrap w:val="0"/>
            <w:vAlign w:val="top"/>
          </w:tcPr>
          <w:p>
            <w:pPr>
              <w:rPr>
                <w:rFonts w:hint="eastAsia" w:ascii="仿宋" w:hAnsi="仿宋" w:eastAsia="仿宋" w:cs="仿宋"/>
                <w:sz w:val="24"/>
                <w:szCs w:val="24"/>
                <w:highlight w:val="none"/>
              </w:rPr>
            </w:pPr>
          </w:p>
        </w:tc>
        <w:tc>
          <w:tcPr>
            <w:tcW w:w="1741" w:type="dxa"/>
            <w:noWrap w:val="0"/>
            <w:vAlign w:val="top"/>
          </w:tcPr>
          <w:p>
            <w:pPr>
              <w:rPr>
                <w:rFonts w:hint="eastAsia" w:ascii="仿宋" w:hAnsi="仿宋" w:eastAsia="仿宋" w:cs="仿宋"/>
                <w:sz w:val="24"/>
                <w:szCs w:val="24"/>
                <w:highlight w:val="none"/>
              </w:rPr>
            </w:pPr>
          </w:p>
        </w:tc>
        <w:tc>
          <w:tcPr>
            <w:tcW w:w="1756" w:type="dxa"/>
            <w:noWrap w:val="0"/>
            <w:vAlign w:val="top"/>
          </w:tcPr>
          <w:p>
            <w:pPr>
              <w:rPr>
                <w:rFonts w:hint="eastAsia" w:ascii="仿宋" w:hAnsi="仿宋" w:eastAsia="仿宋" w:cs="仿宋"/>
                <w:sz w:val="24"/>
                <w:szCs w:val="24"/>
                <w:highlight w:val="none"/>
              </w:rPr>
            </w:pPr>
          </w:p>
        </w:tc>
        <w:tc>
          <w:tcPr>
            <w:tcW w:w="1890" w:type="dxa"/>
            <w:noWrap w:val="0"/>
            <w:vAlign w:val="top"/>
          </w:tcPr>
          <w:p>
            <w:pPr>
              <w:rPr>
                <w:rFonts w:hint="eastAsia" w:ascii="仿宋" w:hAnsi="仿宋" w:eastAsia="仿宋" w:cs="仿宋"/>
                <w:sz w:val="24"/>
                <w:szCs w:val="24"/>
                <w:highlight w:val="none"/>
              </w:rPr>
            </w:pPr>
          </w:p>
        </w:tc>
        <w:tc>
          <w:tcPr>
            <w:tcW w:w="1935" w:type="dxa"/>
            <w:noWrap w:val="0"/>
            <w:vAlign w:val="top"/>
          </w:tcPr>
          <w:p>
            <w:pPr>
              <w:rPr>
                <w:rFonts w:hint="eastAsia" w:ascii="仿宋" w:hAnsi="仿宋" w:eastAsia="仿宋" w:cs="仿宋"/>
                <w:sz w:val="24"/>
                <w:szCs w:val="24"/>
                <w:highlight w:val="none"/>
              </w:rPr>
            </w:pPr>
          </w:p>
        </w:tc>
        <w:tc>
          <w:tcPr>
            <w:tcW w:w="1680" w:type="dxa"/>
            <w:noWrap w:val="0"/>
            <w:vAlign w:val="top"/>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8" w:type="dxa"/>
            <w:noWrap w:val="0"/>
            <w:vAlign w:val="top"/>
          </w:tcPr>
          <w:p>
            <w:pPr>
              <w:rPr>
                <w:rFonts w:hint="eastAsia" w:ascii="仿宋" w:hAnsi="仿宋" w:eastAsia="仿宋" w:cs="仿宋"/>
                <w:sz w:val="24"/>
                <w:szCs w:val="24"/>
                <w:highlight w:val="none"/>
              </w:rPr>
            </w:pPr>
          </w:p>
        </w:tc>
        <w:tc>
          <w:tcPr>
            <w:tcW w:w="1741" w:type="dxa"/>
            <w:noWrap w:val="0"/>
            <w:vAlign w:val="top"/>
          </w:tcPr>
          <w:p>
            <w:pPr>
              <w:rPr>
                <w:rFonts w:hint="eastAsia" w:ascii="仿宋" w:hAnsi="仿宋" w:eastAsia="仿宋" w:cs="仿宋"/>
                <w:sz w:val="24"/>
                <w:szCs w:val="24"/>
                <w:highlight w:val="none"/>
              </w:rPr>
            </w:pPr>
          </w:p>
        </w:tc>
        <w:tc>
          <w:tcPr>
            <w:tcW w:w="1756" w:type="dxa"/>
            <w:noWrap w:val="0"/>
            <w:vAlign w:val="top"/>
          </w:tcPr>
          <w:p>
            <w:pPr>
              <w:rPr>
                <w:rFonts w:hint="eastAsia" w:ascii="仿宋" w:hAnsi="仿宋" w:eastAsia="仿宋" w:cs="仿宋"/>
                <w:sz w:val="24"/>
                <w:szCs w:val="24"/>
                <w:highlight w:val="none"/>
              </w:rPr>
            </w:pPr>
          </w:p>
        </w:tc>
        <w:tc>
          <w:tcPr>
            <w:tcW w:w="1890" w:type="dxa"/>
            <w:noWrap w:val="0"/>
            <w:vAlign w:val="top"/>
          </w:tcPr>
          <w:p>
            <w:pPr>
              <w:rPr>
                <w:rFonts w:hint="eastAsia" w:ascii="仿宋" w:hAnsi="仿宋" w:eastAsia="仿宋" w:cs="仿宋"/>
                <w:sz w:val="24"/>
                <w:szCs w:val="24"/>
                <w:highlight w:val="none"/>
              </w:rPr>
            </w:pPr>
          </w:p>
        </w:tc>
        <w:tc>
          <w:tcPr>
            <w:tcW w:w="1935" w:type="dxa"/>
            <w:noWrap w:val="0"/>
            <w:vAlign w:val="top"/>
          </w:tcPr>
          <w:p>
            <w:pPr>
              <w:rPr>
                <w:rFonts w:hint="eastAsia" w:ascii="仿宋" w:hAnsi="仿宋" w:eastAsia="仿宋" w:cs="仿宋"/>
                <w:sz w:val="24"/>
                <w:szCs w:val="24"/>
                <w:highlight w:val="none"/>
              </w:rPr>
            </w:pPr>
          </w:p>
        </w:tc>
        <w:tc>
          <w:tcPr>
            <w:tcW w:w="1680" w:type="dxa"/>
            <w:noWrap w:val="0"/>
            <w:vAlign w:val="top"/>
          </w:tcPr>
          <w:p>
            <w:pPr>
              <w:rPr>
                <w:rFonts w:hint="eastAsia" w:ascii="仿宋" w:hAnsi="仿宋" w:eastAsia="仿宋" w:cs="仿宋"/>
                <w:sz w:val="24"/>
                <w:szCs w:val="24"/>
                <w:highlight w:val="none"/>
              </w:rPr>
            </w:pPr>
          </w:p>
        </w:tc>
      </w:tr>
    </w:tbl>
    <w:p>
      <w:pPr>
        <w:rPr>
          <w:rFonts w:hint="eastAsia" w:ascii="仿宋" w:hAnsi="仿宋" w:eastAsia="仿宋" w:cs="仿宋"/>
          <w:sz w:val="24"/>
          <w:szCs w:val="24"/>
          <w:highlight w:val="none"/>
        </w:rPr>
      </w:pPr>
    </w:p>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（盖章）：</w:t>
      </w:r>
    </w:p>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w:t>
      </w:r>
    </w:p>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pPr>
        <w:ind w:left="630" w:hanging="720" w:hangingChars="300"/>
        <w:rPr>
          <w:rFonts w:hint="eastAsia" w:ascii="仿宋" w:hAnsi="仿宋" w:eastAsia="仿宋" w:cs="仿宋"/>
          <w:sz w:val="24"/>
          <w:szCs w:val="24"/>
          <w:highlight w:val="none"/>
        </w:rPr>
      </w:pPr>
      <w:r>
        <w:rPr>
          <w:rFonts w:hint="eastAsia" w:ascii="仿宋" w:hAnsi="仿宋" w:eastAsia="仿宋" w:cs="仿宋"/>
          <w:sz w:val="24"/>
          <w:szCs w:val="24"/>
          <w:highlight w:val="none"/>
        </w:rPr>
        <w:t>注：1、对本采购文件第三章项目需求</w:t>
      </w:r>
      <w:r>
        <w:rPr>
          <w:rFonts w:hint="eastAsia" w:ascii="仿宋" w:hAnsi="仿宋" w:eastAsia="仿宋" w:cs="仿宋"/>
          <w:sz w:val="24"/>
          <w:szCs w:val="24"/>
          <w:highlight w:val="none"/>
          <w:lang w:eastAsia="zh-CN"/>
        </w:rPr>
        <w:t>中的技术要求逐一</w:t>
      </w:r>
      <w:r>
        <w:rPr>
          <w:rFonts w:hint="eastAsia" w:ascii="仿宋" w:hAnsi="仿宋" w:eastAsia="仿宋" w:cs="仿宋"/>
          <w:sz w:val="24"/>
          <w:szCs w:val="24"/>
          <w:highlight w:val="none"/>
        </w:rPr>
        <w:t>进行响应，而不应以“全部符合”等字样来响应；</w:t>
      </w:r>
    </w:p>
    <w:p>
      <w:pPr>
        <w:pageBreakBefore w:val="0"/>
        <w:kinsoku/>
        <w:wordWrap/>
        <w:overflowPunct/>
        <w:bidi w:val="0"/>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2、如有偏离情况的（正、负偏离），应逐条列明偏离情况</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提供技术证明文件</w:t>
      </w:r>
      <w:r>
        <w:rPr>
          <w:rFonts w:hint="eastAsia" w:ascii="仿宋" w:hAnsi="仿宋" w:eastAsia="仿宋" w:cs="仿宋"/>
          <w:sz w:val="24"/>
          <w:szCs w:val="24"/>
          <w:highlight w:val="none"/>
        </w:rPr>
        <w:t>，并在偏离情况栏内填写“正偏离”或“负偏离”；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3、如</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不符合上述要求，</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将承担其投标被拒绝的风险。</w:t>
      </w:r>
    </w:p>
    <w:p>
      <w:pPr>
        <w:rPr>
          <w:rFonts w:hint="eastAsia" w:ascii="宋体" w:hAnsi="宋体" w:cs="宋体"/>
          <w:b/>
          <w:szCs w:val="21"/>
          <w:highlight w:val="none"/>
        </w:rPr>
      </w:pPr>
    </w:p>
    <w:p>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：商务条款偏离表</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商务条款偏离表</w:t>
      </w:r>
    </w:p>
    <w:p>
      <w:pPr>
        <w:pageBreakBefore w:val="0"/>
        <w:kinsoku/>
        <w:wordWrap/>
        <w:overflowPunct/>
        <w:topLinePunct w:val="0"/>
        <w:bidi w:val="0"/>
        <w:adjustRightInd/>
        <w:snapToGrid/>
        <w:ind w:left="0" w:leftChars="0" w:right="0" w:rightChars="0"/>
        <w:jc w:val="center"/>
        <w:rPr>
          <w:rFonts w:ascii="宋体"/>
          <w:highlight w:val="none"/>
        </w:rPr>
      </w:pPr>
    </w:p>
    <w:p>
      <w:pPr>
        <w:pageBreakBefore w:val="0"/>
        <w:kinsoku/>
        <w:wordWrap/>
        <w:overflowPunct/>
        <w:topLinePunct w:val="0"/>
        <w:bidi w:val="0"/>
        <w:adjustRightInd/>
        <w:snapToGrid/>
        <w:ind w:left="0" w:leftChars="0" w:right="0" w:rightChars="0" w:firstLine="136" w:firstLineChars="57"/>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编号：标段号（如果有的话）：</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739"/>
        <w:gridCol w:w="283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44" w:type="dxa"/>
            <w:noWrap w:val="0"/>
            <w:vAlign w:val="bottom"/>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磋商文件</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条目号</w:t>
            </w:r>
          </w:p>
        </w:tc>
        <w:tc>
          <w:tcPr>
            <w:tcW w:w="2739" w:type="dxa"/>
            <w:noWrap w:val="0"/>
            <w:vAlign w:val="bottom"/>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的</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商务条款</w:t>
            </w:r>
          </w:p>
        </w:tc>
        <w:tc>
          <w:tcPr>
            <w:tcW w:w="2835" w:type="dxa"/>
            <w:noWrap w:val="0"/>
            <w:vAlign w:val="bottom"/>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的</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商务条款</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56"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1444"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2739"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2835"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1530"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56"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1444"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2739"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2835"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1530"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r>
    </w:tbl>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（盖章）：</w:t>
      </w:r>
    </w:p>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w:t>
      </w:r>
    </w:p>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pPr>
        <w:pageBreakBefore w:val="0"/>
        <w:kinsoku/>
        <w:wordWrap/>
        <w:overflowPunct/>
        <w:bidi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注：1、对本采购文件第三章项目需求</w:t>
      </w:r>
      <w:r>
        <w:rPr>
          <w:rFonts w:hint="eastAsia" w:ascii="仿宋" w:hAnsi="仿宋" w:eastAsia="仿宋" w:cs="仿宋"/>
          <w:color w:val="auto"/>
          <w:sz w:val="24"/>
          <w:szCs w:val="24"/>
          <w:highlight w:val="none"/>
          <w:lang w:val="en-US" w:eastAsia="zh-CN"/>
        </w:rPr>
        <w:t>中的商务要求</w:t>
      </w:r>
      <w:r>
        <w:rPr>
          <w:rFonts w:hint="eastAsia" w:ascii="仿宋" w:hAnsi="仿宋" w:eastAsia="仿宋" w:cs="仿宋"/>
          <w:color w:val="auto"/>
          <w:sz w:val="24"/>
          <w:szCs w:val="24"/>
          <w:highlight w:val="none"/>
          <w:lang w:eastAsia="zh-CN"/>
        </w:rPr>
        <w:t>、第四章响应文件格式 合同进行响应，如全部响应无偏离的，则提交加盖公章的空白表格；</w:t>
      </w:r>
    </w:p>
    <w:p>
      <w:pPr>
        <w:pageBreakBefore w:val="0"/>
        <w:kinsoku/>
        <w:wordWrap/>
        <w:overflowPunct/>
        <w:bidi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2、如有偏离情况的（正、负偏离），应逐条列明偏离情况，并在偏离情况栏内填写“正偏离”或“负偏离”；</w:t>
      </w:r>
    </w:p>
    <w:p>
      <w:pPr>
        <w:pageBreakBefore w:val="0"/>
        <w:kinsoku/>
        <w:wordWrap/>
        <w:overflowPunct/>
        <w:bidi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3、如响应文件不符合上述要求，响应供应商将承担其投标被拒绝的风险。</w:t>
      </w: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b/>
          <w:bCs/>
          <w:kern w:val="0"/>
          <w:sz w:val="36"/>
          <w:szCs w:val="36"/>
          <w:highlight w:val="none"/>
          <w:lang w:val="en-US" w:eastAsia="zh-CN"/>
        </w:rPr>
      </w:pPr>
      <w:r>
        <w:rPr>
          <w:rFonts w:hint="eastAsia" w:ascii="仿宋" w:hAnsi="仿宋" w:eastAsia="仿宋" w:cs="仿宋"/>
          <w:b/>
          <w:bCs/>
          <w:kern w:val="0"/>
          <w:sz w:val="36"/>
          <w:szCs w:val="36"/>
          <w:highlight w:val="none"/>
          <w:lang w:val="en-US" w:eastAsia="zh-CN"/>
        </w:rPr>
        <w:t>附件八：合同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sz w:val="44"/>
          <w:szCs w:val="44"/>
          <w:highlight w:val="none"/>
        </w:rPr>
      </w:pPr>
      <w:r>
        <w:rPr>
          <w:rFonts w:hint="eastAsia" w:ascii="宋体" w:hAnsi="宋体" w:eastAsia="宋体" w:cs="宋体"/>
          <w:b/>
          <w:sz w:val="44"/>
          <w:szCs w:val="44"/>
          <w:highlight w:val="none"/>
        </w:rPr>
        <w:t>采购合同书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kern w:val="0"/>
          <w:szCs w:val="21"/>
          <w:highlight w:val="none"/>
        </w:rPr>
      </w:pPr>
      <w:r>
        <w:rPr>
          <w:rFonts w:hint="eastAsia" w:ascii="宋体" w:hAnsi="宋体"/>
          <w:kern w:val="0"/>
          <w:szCs w:val="21"/>
          <w:highlight w:val="none"/>
          <w:lang w:val="en-US" w:eastAsia="zh-CN"/>
        </w:rPr>
        <w:t xml:space="preserve">                                                                </w:t>
      </w:r>
      <w:r>
        <w:rPr>
          <w:rFonts w:hint="eastAsia" w:ascii="宋体" w:hAnsi="宋体"/>
          <w:kern w:val="0"/>
          <w:szCs w:val="21"/>
          <w:highlight w:val="none"/>
          <w:lang w:eastAsia="zh-CN"/>
        </w:rPr>
        <w:t>合同编号：</w:t>
      </w: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 xml:space="preserve"> 同项目编号</w:t>
      </w:r>
      <w:r>
        <w:rPr>
          <w:rFonts w:hint="eastAsia" w:ascii="宋体" w:hAnsi="宋体"/>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宋体" w:hAnsi="宋体" w:eastAsia="宋体"/>
          <w:kern w:val="0"/>
          <w:szCs w:val="21"/>
          <w:highlight w:val="none"/>
          <w:lang w:eastAsia="zh-CN"/>
        </w:rPr>
      </w:pPr>
      <w:r>
        <w:rPr>
          <w:rFonts w:hint="eastAsia" w:ascii="宋体" w:hAnsi="宋体"/>
          <w:kern w:val="0"/>
          <w:szCs w:val="21"/>
          <w:highlight w:val="none"/>
          <w:lang w:val="en-US" w:eastAsia="zh-CN"/>
        </w:rPr>
        <w:t xml:space="preserve">                                                                 </w:t>
      </w:r>
      <w:r>
        <w:rPr>
          <w:rFonts w:hint="eastAsia" w:ascii="宋体" w:hAnsi="宋体"/>
          <w:kern w:val="0"/>
          <w:szCs w:val="21"/>
          <w:highlight w:val="none"/>
          <w:lang w:eastAsia="zh-CN"/>
        </w:rPr>
        <w:t>签订地点：兴东国际机场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kern w:val="0"/>
          <w:sz w:val="21"/>
          <w:szCs w:val="21"/>
          <w:highlight w:val="none"/>
        </w:rPr>
        <w:t>甲方（采购方）：</w:t>
      </w:r>
      <w:r>
        <w:rPr>
          <w:rFonts w:hint="eastAsia" w:ascii="宋体" w:hAnsi="宋体"/>
          <w:kern w:val="0"/>
          <w:sz w:val="21"/>
          <w:szCs w:val="21"/>
          <w:highlight w:val="none"/>
          <w:lang w:eastAsia="zh-CN"/>
        </w:rPr>
        <w:t>南通机场</w:t>
      </w:r>
      <w:r>
        <w:rPr>
          <w:rFonts w:hint="eastAsia" w:ascii="宋体" w:hAnsi="宋体"/>
          <w:kern w:val="0"/>
          <w:sz w:val="21"/>
          <w:szCs w:val="21"/>
          <w:highlight w:val="none"/>
          <w:lang w:val="en-US" w:eastAsia="zh-CN"/>
        </w:rPr>
        <w:t>集团</w:t>
      </w:r>
      <w:r>
        <w:rPr>
          <w:rFonts w:hint="eastAsia" w:ascii="宋体" w:hAnsi="宋体"/>
          <w:kern w:val="0"/>
          <w:sz w:val="21"/>
          <w:szCs w:val="21"/>
          <w:highlight w:val="none"/>
          <w:lang w:eastAsia="zh-CN"/>
        </w:rPr>
        <w:t>有限公司</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kern w:val="0"/>
          <w:sz w:val="21"/>
          <w:szCs w:val="21"/>
          <w:highlight w:val="none"/>
          <w:lang w:eastAsia="zh-CN"/>
        </w:rPr>
      </w:pPr>
      <w:r>
        <w:rPr>
          <w:rFonts w:hint="eastAsia" w:ascii="宋体" w:hAnsi="宋体"/>
          <w:kern w:val="0"/>
          <w:sz w:val="21"/>
          <w:szCs w:val="21"/>
          <w:highlight w:val="none"/>
          <w:lang w:eastAsia="zh-CN"/>
        </w:rPr>
        <w:t>联系</w:t>
      </w:r>
      <w:r>
        <w:rPr>
          <w:rFonts w:hint="eastAsia" w:ascii="宋体" w:hAnsi="宋体"/>
          <w:kern w:val="0"/>
          <w:sz w:val="21"/>
          <w:szCs w:val="21"/>
          <w:highlight w:val="none"/>
        </w:rPr>
        <w:t xml:space="preserve">人：  </w:t>
      </w: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kern w:val="0"/>
          <w:sz w:val="21"/>
          <w:szCs w:val="21"/>
          <w:highlight w:val="none"/>
          <w:lang w:val="en-US" w:eastAsia="zh-CN"/>
        </w:rPr>
      </w:pPr>
      <w:r>
        <w:rPr>
          <w:rFonts w:hint="eastAsia" w:ascii="宋体" w:hAnsi="宋体"/>
          <w:kern w:val="0"/>
          <w:sz w:val="21"/>
          <w:szCs w:val="21"/>
          <w:highlight w:val="none"/>
        </w:rPr>
        <w:t>联系电话：</w:t>
      </w: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kern w:val="0"/>
          <w:sz w:val="21"/>
          <w:szCs w:val="21"/>
          <w:highlight w:val="none"/>
        </w:rPr>
        <w:t>乙方（供应方）：</w:t>
      </w: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kern w:val="0"/>
          <w:sz w:val="21"/>
          <w:szCs w:val="21"/>
          <w:highlight w:val="none"/>
          <w:lang w:eastAsia="zh-CN"/>
        </w:rPr>
        <w:t>联系</w:t>
      </w:r>
      <w:r>
        <w:rPr>
          <w:rFonts w:hint="eastAsia" w:ascii="宋体" w:hAnsi="宋体"/>
          <w:kern w:val="0"/>
          <w:sz w:val="21"/>
          <w:szCs w:val="21"/>
          <w:highlight w:val="none"/>
        </w:rPr>
        <w:t>人：</w:t>
      </w:r>
      <w:r>
        <w:rPr>
          <w:rFonts w:hint="eastAsia" w:ascii="宋体" w:hAnsi="宋体"/>
          <w:kern w:val="0"/>
          <w:sz w:val="21"/>
          <w:szCs w:val="21"/>
          <w:highlight w:val="none"/>
          <w:lang w:val="en-US" w:eastAsia="zh-CN"/>
        </w:rPr>
        <w:t xml:space="preserve">  【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olor w:val="000000"/>
          <w:sz w:val="21"/>
          <w:szCs w:val="21"/>
          <w:highlight w:val="none"/>
          <w:lang w:val="en-US" w:eastAsia="zh-CN"/>
        </w:rPr>
      </w:pPr>
      <w:r>
        <w:rPr>
          <w:rFonts w:hint="eastAsia" w:ascii="宋体" w:hAnsi="宋体"/>
          <w:kern w:val="0"/>
          <w:sz w:val="21"/>
          <w:szCs w:val="21"/>
          <w:highlight w:val="none"/>
        </w:rPr>
        <w:t>联系电话：</w:t>
      </w:r>
      <w:r>
        <w:rPr>
          <w:rFonts w:hint="eastAsia" w:ascii="宋体" w:hAnsi="宋体"/>
          <w:kern w:val="0"/>
          <w:sz w:val="21"/>
          <w:szCs w:val="21"/>
          <w:highlight w:val="none"/>
          <w:lang w:val="en-US" w:eastAsia="zh-CN"/>
        </w:rPr>
        <w:t>【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kern w:val="0"/>
          <w:sz w:val="21"/>
          <w:szCs w:val="21"/>
          <w:highlight w:val="none"/>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highlight w:val="none"/>
        </w:rPr>
      </w:pPr>
      <w:r>
        <w:rPr>
          <w:rFonts w:hint="eastAsia" w:ascii="宋体" w:hAnsi="宋体" w:cs="仿宋_GB2312"/>
          <w:sz w:val="21"/>
          <w:szCs w:val="21"/>
          <w:highlight w:val="none"/>
        </w:rPr>
        <w:t>甲方</w:t>
      </w:r>
      <w:r>
        <w:rPr>
          <w:rFonts w:hint="eastAsia" w:ascii="宋体" w:hAnsi="宋体" w:cs="仿宋_GB2312"/>
          <w:sz w:val="21"/>
          <w:szCs w:val="21"/>
          <w:highlight w:val="none"/>
          <w:lang w:eastAsia="zh-CN"/>
        </w:rPr>
        <w:t>通过</w:t>
      </w:r>
      <w:r>
        <w:rPr>
          <w:rFonts w:hint="eastAsia" w:cs="仿宋_GB2312"/>
          <w:sz w:val="21"/>
          <w:szCs w:val="21"/>
          <w:highlight w:val="none"/>
          <w:lang w:eastAsia="zh-CN"/>
        </w:rPr>
        <w:t>【填写采购方式】</w:t>
      </w:r>
      <w:r>
        <w:rPr>
          <w:rFonts w:hint="eastAsia" w:ascii="宋体" w:hAnsi="宋体" w:cs="仿宋_GB2312"/>
          <w:sz w:val="21"/>
          <w:szCs w:val="21"/>
          <w:highlight w:val="none"/>
        </w:rPr>
        <w:t xml:space="preserve"> 确定乙方为</w:t>
      </w:r>
      <w:r>
        <w:rPr>
          <w:rFonts w:hint="eastAsia" w:cs="仿宋_GB2312"/>
          <w:sz w:val="21"/>
          <w:szCs w:val="21"/>
          <w:highlight w:val="none"/>
          <w:lang w:eastAsia="zh-CN"/>
        </w:rPr>
        <w:t>【</w:t>
      </w:r>
      <w:r>
        <w:rPr>
          <w:rFonts w:hint="eastAsia" w:cs="仿宋_GB2312"/>
          <w:sz w:val="21"/>
          <w:szCs w:val="21"/>
          <w:highlight w:val="none"/>
          <w:lang w:val="en-US" w:eastAsia="zh-CN"/>
        </w:rPr>
        <w:t xml:space="preserve">  </w:t>
      </w:r>
      <w:r>
        <w:rPr>
          <w:rFonts w:hint="eastAsia" w:cs="仿宋_GB2312"/>
          <w:sz w:val="21"/>
          <w:szCs w:val="21"/>
          <w:highlight w:val="none"/>
          <w:lang w:eastAsia="zh-CN"/>
        </w:rPr>
        <w:t>】</w:t>
      </w:r>
      <w:r>
        <w:rPr>
          <w:rFonts w:hint="eastAsia" w:ascii="宋体" w:hAnsi="宋体" w:cs="仿宋_GB2312"/>
          <w:sz w:val="21"/>
          <w:szCs w:val="21"/>
          <w:highlight w:val="none"/>
        </w:rPr>
        <w:t>项目的供应商。</w:t>
      </w:r>
      <w:r>
        <w:rPr>
          <w:rFonts w:hint="eastAsia" w:ascii="宋体" w:hAnsi="宋体" w:cs="仿宋_GB2312"/>
          <w:sz w:val="21"/>
          <w:szCs w:val="21"/>
          <w:highlight w:val="none"/>
          <w:lang w:eastAsia="zh-CN"/>
        </w:rPr>
        <w:t>依</w:t>
      </w:r>
      <w:r>
        <w:rPr>
          <w:rFonts w:hint="eastAsia" w:ascii="宋体" w:hAnsi="宋体" w:cs="宋体"/>
          <w:sz w:val="21"/>
          <w:szCs w:val="21"/>
          <w:highlight w:val="none"/>
          <w:lang w:val="zh-CN"/>
        </w:rPr>
        <w:t>据《中华人民共和国</w:t>
      </w:r>
      <w:r>
        <w:rPr>
          <w:rFonts w:hint="eastAsia" w:ascii="宋体" w:hAnsi="宋体" w:cs="宋体"/>
          <w:sz w:val="21"/>
          <w:szCs w:val="21"/>
          <w:highlight w:val="none"/>
          <w:lang w:val="en-US" w:eastAsia="zh-CN"/>
        </w:rPr>
        <w:t>民法典</w:t>
      </w:r>
      <w:r>
        <w:rPr>
          <w:rFonts w:hint="eastAsia" w:ascii="宋体" w:hAnsi="宋体" w:cs="宋体"/>
          <w:sz w:val="21"/>
          <w:szCs w:val="21"/>
          <w:highlight w:val="none"/>
          <w:lang w:val="zh-CN"/>
        </w:rPr>
        <w:t>》等相关法律法规之规定以及</w:t>
      </w:r>
      <w:r>
        <w:rPr>
          <w:rFonts w:hint="eastAsia" w:ascii="宋体" w:hAnsi="宋体" w:cs="仿宋_GB2312"/>
          <w:sz w:val="21"/>
          <w:szCs w:val="21"/>
          <w:highlight w:val="none"/>
          <w:lang w:eastAsia="zh-CN"/>
        </w:rPr>
        <w:t>甲方的采购</w:t>
      </w:r>
      <w:r>
        <w:rPr>
          <w:rFonts w:hint="eastAsia" w:ascii="宋体" w:hAnsi="宋体" w:cs="仿宋_GB2312"/>
          <w:sz w:val="21"/>
          <w:szCs w:val="21"/>
          <w:highlight w:val="none"/>
        </w:rPr>
        <w:t>文件、乙方的响应文件</w:t>
      </w:r>
      <w:r>
        <w:rPr>
          <w:rFonts w:hint="eastAsia" w:ascii="宋体" w:hAnsi="宋体" w:cs="仿宋_GB2312"/>
          <w:sz w:val="21"/>
          <w:szCs w:val="21"/>
          <w:highlight w:val="none"/>
          <w:lang w:eastAsia="zh-CN"/>
        </w:rPr>
        <w:t>等</w:t>
      </w:r>
      <w:r>
        <w:rPr>
          <w:rFonts w:hint="eastAsia" w:ascii="宋体" w:hAnsi="宋体" w:cs="仿宋_GB2312"/>
          <w:sz w:val="21"/>
          <w:szCs w:val="21"/>
          <w:highlight w:val="none"/>
        </w:rPr>
        <w:t>内容</w:t>
      </w:r>
      <w:r>
        <w:rPr>
          <w:rFonts w:hint="eastAsia" w:ascii="宋体" w:hAnsi="宋体" w:cs="宋体"/>
          <w:sz w:val="21"/>
          <w:szCs w:val="21"/>
          <w:highlight w:val="none"/>
          <w:lang w:val="zh-CN"/>
        </w:rPr>
        <w:t>，按照平等、自愿、公平和诚实信用的原则，经</w:t>
      </w:r>
      <w:r>
        <w:rPr>
          <w:rFonts w:hint="eastAsia" w:ascii="宋体" w:hAnsi="宋体" w:cs="宋体"/>
          <w:sz w:val="21"/>
          <w:szCs w:val="21"/>
          <w:highlight w:val="none"/>
          <w:u w:val="none"/>
          <w:lang w:eastAsia="zh-CN"/>
        </w:rPr>
        <w:t>双方</w:t>
      </w:r>
      <w:r>
        <w:rPr>
          <w:rFonts w:hint="eastAsia" w:ascii="宋体" w:hAnsi="宋体" w:cs="宋体"/>
          <w:sz w:val="21"/>
          <w:szCs w:val="21"/>
          <w:highlight w:val="none"/>
          <w:lang w:val="zh-CN"/>
        </w:rPr>
        <w:t>协商一致，约定以下合同</w:t>
      </w:r>
      <w:r>
        <w:rPr>
          <w:rFonts w:hint="eastAsia" w:ascii="宋体" w:hAnsi="宋体" w:cs="宋体"/>
          <w:sz w:val="21"/>
          <w:szCs w:val="21"/>
          <w:highlight w:val="none"/>
        </w:rPr>
        <w:t>条款，以兹共同遵守、全面履行。</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b/>
          <w:sz w:val="21"/>
          <w:szCs w:val="21"/>
          <w:highlight w:val="none"/>
        </w:rPr>
      </w:pPr>
      <w:r>
        <w:rPr>
          <w:rFonts w:hint="eastAsia" w:ascii="宋体" w:hAnsi="宋体" w:cs="仿宋_GB2312"/>
          <w:b/>
          <w:sz w:val="21"/>
          <w:szCs w:val="21"/>
          <w:highlight w:val="none"/>
        </w:rPr>
        <w:t>合同标的物和合同价格</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lang w:eastAsia="zh-CN"/>
        </w:rPr>
        <w:t>标的物名称：【</w:t>
      </w:r>
      <w:r>
        <w:rPr>
          <w:rFonts w:hint="eastAsia" w:cs="仿宋_GB2312"/>
          <w:sz w:val="21"/>
          <w:szCs w:val="21"/>
          <w:highlight w:val="none"/>
          <w:lang w:val="en-US" w:eastAsia="zh-CN"/>
        </w:rPr>
        <w:t xml:space="preserve">  </w:t>
      </w:r>
      <w:r>
        <w:rPr>
          <w:rFonts w:hint="eastAsia" w:cs="仿宋_GB2312"/>
          <w:sz w:val="21"/>
          <w:szCs w:val="21"/>
          <w:highlight w:val="none"/>
          <w:lang w:eastAsia="zh-CN"/>
        </w:rPr>
        <w:t>】</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lang w:eastAsia="zh-CN"/>
        </w:rPr>
        <w:t>标的物数量：【</w:t>
      </w:r>
      <w:r>
        <w:rPr>
          <w:rFonts w:hint="eastAsia" w:cs="仿宋_GB2312"/>
          <w:sz w:val="21"/>
          <w:szCs w:val="21"/>
          <w:highlight w:val="none"/>
          <w:lang w:val="en-US" w:eastAsia="zh-CN"/>
        </w:rPr>
        <w:t xml:space="preserve">  </w:t>
      </w:r>
      <w:r>
        <w:rPr>
          <w:rFonts w:hint="eastAsia" w:cs="仿宋_GB2312"/>
          <w:sz w:val="21"/>
          <w:szCs w:val="21"/>
          <w:highlight w:val="none"/>
          <w:lang w:eastAsia="zh-CN"/>
        </w:rPr>
        <w:t>】</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lang w:eastAsia="zh-CN"/>
        </w:rPr>
        <w:t>标的物总价：人民币</w:t>
      </w:r>
      <w:r>
        <w:rPr>
          <w:rFonts w:hint="eastAsia" w:cs="仿宋_GB2312"/>
          <w:sz w:val="21"/>
          <w:szCs w:val="21"/>
          <w:highlight w:val="none"/>
          <w:u w:val="single"/>
          <w:lang w:val="en-US" w:eastAsia="zh-CN"/>
        </w:rPr>
        <w:t>【  】元</w:t>
      </w:r>
      <w:r>
        <w:rPr>
          <w:rFonts w:hint="eastAsia" w:cs="仿宋_GB2312"/>
          <w:sz w:val="21"/>
          <w:szCs w:val="21"/>
          <w:highlight w:val="none"/>
          <w:lang w:val="en-US" w:eastAsia="zh-CN"/>
        </w:rPr>
        <w:t>（RMB：  ）</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本合同价格包括上述标的物，</w:t>
      </w:r>
      <w:r>
        <w:rPr>
          <w:rFonts w:hint="eastAsia"/>
          <w:sz w:val="21"/>
          <w:szCs w:val="21"/>
          <w:highlight w:val="none"/>
        </w:rPr>
        <w:t>一次性报定，</w:t>
      </w:r>
      <w:r>
        <w:rPr>
          <w:sz w:val="21"/>
          <w:szCs w:val="21"/>
          <w:highlight w:val="none"/>
        </w:rPr>
        <w:t>包括</w:t>
      </w:r>
      <w:r>
        <w:rPr>
          <w:rFonts w:hint="eastAsia"/>
          <w:sz w:val="21"/>
          <w:szCs w:val="21"/>
          <w:highlight w:val="none"/>
          <w:lang w:eastAsia="zh-CN"/>
        </w:rPr>
        <w:t>标的物</w:t>
      </w:r>
      <w:r>
        <w:rPr>
          <w:rFonts w:hint="eastAsia"/>
          <w:sz w:val="21"/>
          <w:szCs w:val="21"/>
          <w:highlight w:val="none"/>
        </w:rPr>
        <w:t>、设计费</w:t>
      </w:r>
      <w:r>
        <w:rPr>
          <w:rFonts w:hint="eastAsia"/>
          <w:sz w:val="21"/>
          <w:szCs w:val="21"/>
          <w:highlight w:val="none"/>
          <w:lang w:eastAsia="zh-CN"/>
        </w:rPr>
        <w:t>，</w:t>
      </w:r>
      <w:r>
        <w:rPr>
          <w:rFonts w:hint="eastAsia"/>
          <w:sz w:val="21"/>
          <w:szCs w:val="21"/>
          <w:highlight w:val="none"/>
        </w:rPr>
        <w:t>以及附（配）件、包装、运输、安装、调试、保险、设备保管、易损易耗件、工具、检验检测费、恢复等交付使用前的一切费用</w:t>
      </w:r>
      <w:r>
        <w:rPr>
          <w:rFonts w:hint="eastAsia" w:cs="仿宋_GB2312"/>
          <w:sz w:val="21"/>
          <w:szCs w:val="21"/>
          <w:highlight w:val="none"/>
        </w:rPr>
        <w:t>。</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根据现行税法对甲方征收的与本合同有关的一切税费均由甲方承担；根据现行税法对乙方征收的与本合同有关的一切税费均由乙方承担。</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标的物交付</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ascii="宋体" w:hAnsi="宋体"/>
          <w:sz w:val="21"/>
          <w:szCs w:val="21"/>
          <w:highlight w:val="none"/>
        </w:rPr>
        <w:t>交货日期：合同签订后</w:t>
      </w:r>
      <w:r>
        <w:rPr>
          <w:rFonts w:hint="eastAsia" w:ascii="宋体" w:hAnsi="宋体"/>
          <w:sz w:val="21"/>
          <w:szCs w:val="21"/>
          <w:highlight w:val="none"/>
          <w:u w:val="single"/>
        </w:rPr>
        <w:t xml:space="preserve"> </w:t>
      </w:r>
      <w:r>
        <w:rPr>
          <w:rFonts w:hint="eastAsia" w:ascii="宋体" w:hAnsi="宋体"/>
          <w:sz w:val="21"/>
          <w:szCs w:val="21"/>
          <w:highlight w:val="none"/>
          <w:u w:val="single"/>
          <w:lang w:eastAsia="zh-CN"/>
        </w:rPr>
        <w:t>【</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u w:val="single"/>
          <w:lang w:eastAsia="zh-CN"/>
        </w:rPr>
        <w:t>】</w:t>
      </w:r>
      <w:r>
        <w:rPr>
          <w:rFonts w:hint="eastAsia" w:ascii="宋体" w:hAnsi="宋体"/>
          <w:sz w:val="21"/>
          <w:szCs w:val="21"/>
          <w:highlight w:val="none"/>
          <w:u w:val="single"/>
        </w:rPr>
        <w:t xml:space="preserve"> </w:t>
      </w:r>
      <w:r>
        <w:rPr>
          <w:rFonts w:hint="eastAsia" w:ascii="宋体" w:hAnsi="宋体"/>
          <w:sz w:val="21"/>
          <w:szCs w:val="21"/>
          <w:highlight w:val="none"/>
        </w:rPr>
        <w:t>天交货并安装调试完毕。</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交付地点：</w:t>
      </w:r>
      <w:r>
        <w:rPr>
          <w:rFonts w:hint="eastAsia" w:cs="仿宋_GB2312"/>
          <w:sz w:val="21"/>
          <w:szCs w:val="21"/>
          <w:highlight w:val="none"/>
          <w:lang w:eastAsia="zh-CN"/>
        </w:rPr>
        <w:t>兴东国际机场</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技术规范</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iCs/>
          <w:sz w:val="21"/>
          <w:szCs w:val="21"/>
          <w:highlight w:val="none"/>
          <w:u w:val="single"/>
        </w:rPr>
      </w:pPr>
      <w:r>
        <w:rPr>
          <w:rFonts w:cs="仿宋_GB2312"/>
          <w:sz w:val="21"/>
          <w:szCs w:val="21"/>
          <w:highlight w:val="none"/>
        </w:rPr>
        <w:t>所</w:t>
      </w:r>
      <w:r>
        <w:rPr>
          <w:rFonts w:hint="eastAsia" w:cs="仿宋_GB2312"/>
          <w:sz w:val="21"/>
          <w:szCs w:val="21"/>
          <w:highlight w:val="none"/>
        </w:rPr>
        <w:t>提供货物</w:t>
      </w:r>
      <w:r>
        <w:rPr>
          <w:rFonts w:cs="仿宋_GB2312"/>
          <w:sz w:val="21"/>
          <w:szCs w:val="21"/>
          <w:highlight w:val="none"/>
        </w:rPr>
        <w:t>的生产</w:t>
      </w:r>
      <w:r>
        <w:rPr>
          <w:sz w:val="21"/>
          <w:szCs w:val="21"/>
          <w:highlight w:val="none"/>
        </w:rPr>
        <w:t>、制造、安装等各项技术标准</w:t>
      </w:r>
      <w:r>
        <w:rPr>
          <w:rFonts w:hint="eastAsia"/>
          <w:sz w:val="21"/>
          <w:szCs w:val="21"/>
          <w:highlight w:val="none"/>
        </w:rPr>
        <w:t>，</w:t>
      </w:r>
      <w:r>
        <w:rPr>
          <w:sz w:val="21"/>
          <w:szCs w:val="21"/>
          <w:highlight w:val="none"/>
        </w:rPr>
        <w:t>应当符合国家（强制性）标准、各项规范要求</w:t>
      </w:r>
      <w:r>
        <w:rPr>
          <w:rFonts w:hint="eastAsia"/>
          <w:sz w:val="21"/>
          <w:szCs w:val="21"/>
          <w:highlight w:val="none"/>
        </w:rPr>
        <w:t>；</w:t>
      </w:r>
      <w:r>
        <w:rPr>
          <w:sz w:val="21"/>
          <w:szCs w:val="21"/>
          <w:highlight w:val="none"/>
        </w:rPr>
        <w:t>国家没有相应标准、规范的，可使用行业标准、规定</w:t>
      </w:r>
      <w:r>
        <w:rPr>
          <w:rFonts w:hint="eastAsia"/>
          <w:sz w:val="21"/>
          <w:szCs w:val="21"/>
          <w:highlight w:val="none"/>
          <w:lang w:eastAsia="zh-CN"/>
        </w:rPr>
        <w:t>。</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iCs/>
          <w:sz w:val="21"/>
          <w:szCs w:val="21"/>
          <w:highlight w:val="none"/>
          <w:u w:val="single"/>
        </w:rPr>
      </w:pPr>
      <w:r>
        <w:rPr>
          <w:rFonts w:hint="eastAsia"/>
          <w:sz w:val="21"/>
          <w:szCs w:val="21"/>
          <w:highlight w:val="none"/>
          <w:lang w:eastAsia="zh-CN"/>
        </w:rPr>
        <w:t>乙方提供和交付的货物规格应和甲方提出的要求及乙方响应文件的规格要求一致。</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质量要求</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cs="仿宋_GB2312"/>
          <w:sz w:val="21"/>
          <w:szCs w:val="21"/>
          <w:highlight w:val="none"/>
        </w:rPr>
        <w:t>所</w:t>
      </w:r>
      <w:r>
        <w:rPr>
          <w:rFonts w:hint="eastAsia" w:cs="仿宋_GB2312"/>
          <w:sz w:val="21"/>
          <w:szCs w:val="21"/>
          <w:highlight w:val="none"/>
        </w:rPr>
        <w:t>提供货物</w:t>
      </w:r>
      <w:r>
        <w:rPr>
          <w:rFonts w:hint="eastAsia" w:cs="仿宋_GB2312"/>
          <w:sz w:val="21"/>
          <w:szCs w:val="21"/>
          <w:highlight w:val="none"/>
          <w:lang w:val="en-US" w:eastAsia="zh-CN"/>
        </w:rPr>
        <w:t>必须</w:t>
      </w:r>
      <w:r>
        <w:rPr>
          <w:rFonts w:hint="eastAsia" w:cs="仿宋_GB2312"/>
          <w:sz w:val="21"/>
          <w:szCs w:val="21"/>
          <w:highlight w:val="none"/>
        </w:rPr>
        <w:t>是全新的、未使用过的、原包装未拆封的商品，</w:t>
      </w:r>
      <w:r>
        <w:rPr>
          <w:rFonts w:hint="eastAsia" w:cs="仿宋_GB2312"/>
          <w:sz w:val="21"/>
          <w:szCs w:val="21"/>
          <w:highlight w:val="none"/>
          <w:lang w:val="en-US" w:eastAsia="zh-CN"/>
        </w:rPr>
        <w:t>且</w:t>
      </w:r>
      <w:r>
        <w:rPr>
          <w:rFonts w:hint="eastAsia" w:cs="仿宋_GB2312"/>
          <w:sz w:val="21"/>
          <w:szCs w:val="21"/>
          <w:highlight w:val="none"/>
        </w:rPr>
        <w:t>完全符合采购设备规定的质量、规格和性能的要求，产品配置必须原厂出厂时全部自带，所有设备外包装箱不得自行拆封，包装箱上所有标签等不得涂改或撕毁，除有特殊要求外，其余均为标准配置，否则采购单位有权拒绝验收。</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sz w:val="21"/>
          <w:szCs w:val="21"/>
          <w:highlight w:val="none"/>
        </w:rPr>
      </w:pPr>
      <w:r>
        <w:rPr>
          <w:rFonts w:hint="eastAsia" w:cs="仿宋_GB2312"/>
          <w:sz w:val="21"/>
          <w:szCs w:val="21"/>
          <w:highlight w:val="none"/>
        </w:rPr>
        <w:t>乙方应保证所提供货物涉及到的知识产权是合法取得，并享有完整的知识产权，不会因为甲方的使用而被责令停止使用、追偿或要求赔偿损失，如出现此情况，一切经济和法律责任均由乙方承担。</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验收</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验收标准：乙方提供的货物必须符合我国最新颁布的与之相关的技术规范与标准，同时必须满足谈判文件中所列规格、具体配置、技术条件及功能要求和乙方承诺的其它指标</w:t>
      </w:r>
      <w:r>
        <w:rPr>
          <w:rFonts w:hint="eastAsia" w:cs="仿宋_GB2312"/>
          <w:sz w:val="21"/>
          <w:szCs w:val="21"/>
          <w:highlight w:val="none"/>
          <w:lang w:eastAsia="zh-CN"/>
        </w:rPr>
        <w:t>，</w:t>
      </w:r>
      <w:r>
        <w:rPr>
          <w:rFonts w:hint="eastAsia" w:cs="仿宋_GB2312"/>
          <w:sz w:val="21"/>
          <w:szCs w:val="21"/>
          <w:highlight w:val="none"/>
          <w:lang w:val="en-US" w:eastAsia="zh-CN"/>
        </w:rPr>
        <w:t>否则甲方有权拒绝验收。</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在交货时必须原包装现场拆封验收，由甲方以及乙方共同对标的物的质量、规格、性能、数量、外观、随机备件备品、装箱单、随机资料、包装等进行详细而全面的检验</w:t>
      </w:r>
      <w:r>
        <w:rPr>
          <w:rFonts w:hint="eastAsia" w:cs="仿宋_GB2312"/>
          <w:sz w:val="21"/>
          <w:szCs w:val="21"/>
          <w:highlight w:val="none"/>
          <w:lang w:eastAsia="zh-CN"/>
        </w:rPr>
        <w:t>。</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甲方根据合同规定的内容和验收标准进行验收，同时比较乙方出具的检验证明，经检验无误后出具</w:t>
      </w:r>
      <w:r>
        <w:rPr>
          <w:rFonts w:hint="eastAsia" w:cs="仿宋_GB2312"/>
          <w:sz w:val="21"/>
          <w:szCs w:val="21"/>
          <w:highlight w:val="none"/>
          <w:lang w:eastAsia="zh-CN"/>
        </w:rPr>
        <w:t>货物</w:t>
      </w:r>
      <w:r>
        <w:rPr>
          <w:rFonts w:hint="eastAsia" w:cs="仿宋_GB2312"/>
          <w:sz w:val="21"/>
          <w:szCs w:val="21"/>
          <w:highlight w:val="none"/>
          <w:lang w:val="en-US" w:eastAsia="zh-CN"/>
        </w:rPr>
        <w:t>验收交接单（附件一）</w:t>
      </w:r>
      <w:r>
        <w:rPr>
          <w:rFonts w:hint="eastAsia" w:cs="仿宋_GB2312"/>
          <w:sz w:val="21"/>
          <w:szCs w:val="21"/>
          <w:highlight w:val="none"/>
        </w:rPr>
        <w:t>，双方代表须按规定的验收项目对照本合同填好</w:t>
      </w:r>
      <w:r>
        <w:rPr>
          <w:rFonts w:hint="eastAsia" w:cs="仿宋_GB2312"/>
          <w:sz w:val="21"/>
          <w:szCs w:val="21"/>
          <w:highlight w:val="none"/>
          <w:lang w:eastAsia="zh-CN"/>
        </w:rPr>
        <w:t>验收交接单</w:t>
      </w:r>
      <w:r>
        <w:rPr>
          <w:rFonts w:hint="eastAsia" w:cs="仿宋_GB2312"/>
          <w:sz w:val="21"/>
          <w:szCs w:val="21"/>
          <w:highlight w:val="none"/>
        </w:rPr>
        <w:t>并签名盖章</w:t>
      </w:r>
      <w:r>
        <w:rPr>
          <w:rFonts w:hint="eastAsia" w:cs="仿宋_GB2312"/>
          <w:sz w:val="21"/>
          <w:szCs w:val="21"/>
          <w:highlight w:val="none"/>
          <w:lang w:eastAsia="zh-CN"/>
        </w:rPr>
        <w:t>，</w:t>
      </w:r>
      <w:r>
        <w:rPr>
          <w:rFonts w:hint="eastAsia" w:cs="仿宋_GB2312"/>
          <w:sz w:val="21"/>
          <w:szCs w:val="21"/>
          <w:highlight w:val="none"/>
        </w:rPr>
        <w:t>作为最终付款所需文件的组成部分。如双方对验收结</w:t>
      </w:r>
      <w:r>
        <w:rPr>
          <w:rFonts w:hint="eastAsia"/>
          <w:sz w:val="21"/>
          <w:szCs w:val="21"/>
          <w:highlight w:val="none"/>
        </w:rPr>
        <w:t>果有分歧，则以第三方权威机构的检验结果为准，检验费由有过失的一方支付。</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shd w:val="clear" w:color="FFFFFF" w:fill="D9D9D9"/>
        </w:rPr>
      </w:pPr>
      <w:r>
        <w:rPr>
          <w:rFonts w:hint="eastAsia" w:cs="仿宋_GB2312"/>
          <w:sz w:val="21"/>
          <w:szCs w:val="21"/>
          <w:highlight w:val="none"/>
          <w:shd w:val="clear" w:color="auto" w:fill="auto"/>
        </w:rPr>
        <w:t>根据甲方检验的结果或当地技监部门的检验结果，如果标的物的数量、质量或规格与合同不符或证实标的物是具有缺陷的，包括潜在缺陷或使用不符合要求的材料等，甲方</w:t>
      </w:r>
      <w:r>
        <w:rPr>
          <w:rFonts w:hint="eastAsia" w:cs="仿宋_GB2312"/>
          <w:sz w:val="21"/>
          <w:szCs w:val="21"/>
          <w:highlight w:val="none"/>
          <w:shd w:val="clear" w:color="auto" w:fill="auto"/>
          <w:lang w:val="en-US" w:eastAsia="zh-CN"/>
        </w:rPr>
        <w:t>应尽快以书面方式将拒绝验收的决定通知到乙方。同时，</w:t>
      </w:r>
      <w:r>
        <w:rPr>
          <w:rFonts w:hint="eastAsia" w:cs="仿宋_GB2312"/>
          <w:sz w:val="21"/>
          <w:szCs w:val="21"/>
          <w:highlight w:val="none"/>
          <w:shd w:val="clear" w:color="auto" w:fill="auto"/>
        </w:rPr>
        <w:t>甲方有权根据当地产品质量检验机构或其他有权部门出具的检验证书</w:t>
      </w:r>
      <w:r>
        <w:rPr>
          <w:rFonts w:hint="eastAsia" w:cs="仿宋_GB2312"/>
          <w:sz w:val="21"/>
          <w:szCs w:val="21"/>
          <w:highlight w:val="none"/>
          <w:shd w:val="clear" w:color="auto" w:fill="auto"/>
          <w:lang w:eastAsia="zh-CN"/>
        </w:rPr>
        <w:t>依照本合同第</w:t>
      </w:r>
      <w:r>
        <w:rPr>
          <w:rFonts w:hint="eastAsia" w:cs="仿宋_GB2312"/>
          <w:sz w:val="21"/>
          <w:szCs w:val="21"/>
          <w:highlight w:val="none"/>
          <w:shd w:val="clear" w:color="auto" w:fill="auto"/>
          <w:lang w:val="en-US" w:eastAsia="zh-CN"/>
        </w:rPr>
        <w:t>10</w:t>
      </w:r>
      <w:r>
        <w:rPr>
          <w:rFonts w:hint="eastAsia" w:cs="仿宋_GB2312"/>
          <w:sz w:val="21"/>
          <w:szCs w:val="21"/>
          <w:highlight w:val="none"/>
          <w:shd w:val="clear" w:color="auto" w:fill="auto"/>
          <w:lang w:eastAsia="zh-CN"/>
        </w:rPr>
        <w:t>条规定</w:t>
      </w:r>
      <w:r>
        <w:rPr>
          <w:rFonts w:hint="eastAsia" w:cs="仿宋_GB2312"/>
          <w:sz w:val="21"/>
          <w:szCs w:val="21"/>
          <w:highlight w:val="none"/>
          <w:shd w:val="clear" w:color="auto" w:fill="auto"/>
        </w:rPr>
        <w:t>向乙方提出索赔</w:t>
      </w:r>
      <w:r>
        <w:rPr>
          <w:rFonts w:hint="eastAsia" w:cs="仿宋_GB2312"/>
          <w:sz w:val="21"/>
          <w:szCs w:val="21"/>
          <w:highlight w:val="none"/>
          <w:shd w:val="clear" w:color="auto" w:fill="auto"/>
          <w:lang w:eastAsia="zh-CN"/>
        </w:rPr>
        <w:t>，并要求乙方承担相应的违约责任。</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验收期限在安装调试结束</w:t>
      </w:r>
      <w:r>
        <w:rPr>
          <w:rFonts w:cs="仿宋_GB2312"/>
          <w:sz w:val="21"/>
          <w:szCs w:val="21"/>
          <w:highlight w:val="none"/>
        </w:rPr>
        <w:t>30</w:t>
      </w:r>
      <w:r>
        <w:rPr>
          <w:rFonts w:hint="eastAsia" w:cs="仿宋_GB2312"/>
          <w:sz w:val="21"/>
          <w:szCs w:val="21"/>
          <w:highlight w:val="none"/>
        </w:rPr>
        <w:t>个工作日内进行。特殊情况需延长的，双方应特别约定。</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合同价格支付</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支付步骤</w:t>
      </w:r>
      <w:r>
        <w:rPr>
          <w:rFonts w:hint="eastAsia"/>
          <w:sz w:val="21"/>
          <w:szCs w:val="21"/>
          <w:highlight w:val="none"/>
        </w:rPr>
        <w:t>：</w:t>
      </w:r>
      <w:r>
        <w:rPr>
          <w:rFonts w:hint="eastAsia"/>
          <w:sz w:val="21"/>
          <w:szCs w:val="21"/>
          <w:highlight w:val="none"/>
          <w:lang w:eastAsia="zh-CN"/>
        </w:rPr>
        <w:t>【</w:t>
      </w:r>
      <w:r>
        <w:rPr>
          <w:rFonts w:hint="eastAsia"/>
          <w:sz w:val="21"/>
          <w:szCs w:val="21"/>
          <w:highlight w:val="none"/>
        </w:rPr>
        <w:t>合同签订后，</w:t>
      </w:r>
      <w:r>
        <w:rPr>
          <w:rFonts w:hint="eastAsia" w:ascii="宋体" w:hAnsi="宋体" w:cs="宋体"/>
          <w:sz w:val="21"/>
          <w:szCs w:val="21"/>
          <w:highlight w:val="none"/>
          <w:lang w:val="zh-CN"/>
        </w:rPr>
        <w:t>设备全部安装、调试完毕，经甲方验收合格后甲方支付合同金额的</w:t>
      </w:r>
      <w:r>
        <w:rPr>
          <w:rFonts w:hint="eastAsia" w:ascii="宋体" w:hAnsi="宋体" w:cs="宋体"/>
          <w:sz w:val="21"/>
          <w:szCs w:val="21"/>
          <w:highlight w:val="none"/>
          <w:lang w:val="en-US" w:eastAsia="zh-CN"/>
        </w:rPr>
        <w:t>100%】</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乙方要求付款应提供以下资料：</w:t>
      </w:r>
    </w:p>
    <w:p>
      <w:pPr>
        <w:keepNext w:val="0"/>
        <w:keepLines w:val="0"/>
        <w:pageBreakBefore w:val="0"/>
        <w:widowControl w:val="0"/>
        <w:numPr>
          <w:ilvl w:val="0"/>
          <w:numId w:val="4"/>
        </w:numPr>
        <w:tabs>
          <w:tab w:val="left" w:pos="1080"/>
        </w:tabs>
        <w:kinsoku/>
        <w:wordWrap/>
        <w:overflowPunct/>
        <w:topLinePunct w:val="0"/>
        <w:autoSpaceDE/>
        <w:autoSpaceDN/>
        <w:bidi w:val="0"/>
        <w:adjustRightInd w:val="0"/>
        <w:snapToGrid/>
        <w:spacing w:line="240" w:lineRule="auto"/>
        <w:ind w:left="0" w:leftChars="0" w:right="0" w:rightChars="0" w:firstLine="420" w:firstLineChars="200"/>
        <w:jc w:val="left"/>
        <w:textAlignment w:val="auto"/>
        <w:outlineLvl w:val="9"/>
        <w:rPr>
          <w:rFonts w:hint="eastAsia" w:cs="仿宋_GB2312"/>
          <w:sz w:val="21"/>
          <w:szCs w:val="21"/>
          <w:highlight w:val="none"/>
        </w:rPr>
      </w:pPr>
      <w:r>
        <w:rPr>
          <w:rFonts w:hint="eastAsia" w:cs="仿宋_GB2312"/>
          <w:sz w:val="21"/>
          <w:szCs w:val="21"/>
          <w:highlight w:val="none"/>
          <w:lang w:eastAsia="zh-CN"/>
        </w:rPr>
        <w:t>增值税专用</w:t>
      </w:r>
      <w:r>
        <w:rPr>
          <w:rFonts w:hint="eastAsia" w:cs="仿宋_GB2312"/>
          <w:sz w:val="21"/>
          <w:szCs w:val="21"/>
          <w:highlight w:val="none"/>
        </w:rPr>
        <w:t>发票。</w:t>
      </w:r>
    </w:p>
    <w:p>
      <w:pPr>
        <w:keepNext w:val="0"/>
        <w:keepLines w:val="0"/>
        <w:pageBreakBefore w:val="0"/>
        <w:widowControl w:val="0"/>
        <w:numPr>
          <w:ilvl w:val="0"/>
          <w:numId w:val="4"/>
        </w:numPr>
        <w:tabs>
          <w:tab w:val="left" w:pos="1080"/>
        </w:tabs>
        <w:kinsoku/>
        <w:wordWrap/>
        <w:overflowPunct/>
        <w:topLinePunct w:val="0"/>
        <w:autoSpaceDE/>
        <w:autoSpaceDN/>
        <w:bidi w:val="0"/>
        <w:adjustRightInd w:val="0"/>
        <w:snapToGrid/>
        <w:spacing w:line="240" w:lineRule="auto"/>
        <w:ind w:left="0" w:leftChars="0" w:right="0" w:rightChars="0" w:firstLine="420" w:firstLineChars="200"/>
        <w:jc w:val="left"/>
        <w:textAlignment w:val="auto"/>
        <w:outlineLvl w:val="9"/>
        <w:rPr>
          <w:rFonts w:hint="eastAsia" w:cs="仿宋_GB2312"/>
          <w:sz w:val="21"/>
          <w:szCs w:val="21"/>
          <w:highlight w:val="none"/>
        </w:rPr>
      </w:pPr>
      <w:r>
        <w:rPr>
          <w:rFonts w:hint="eastAsia" w:cs="仿宋_GB2312"/>
          <w:sz w:val="21"/>
          <w:szCs w:val="21"/>
          <w:highlight w:val="none"/>
        </w:rPr>
        <w:t>甲乙双方签章的</w:t>
      </w:r>
      <w:r>
        <w:rPr>
          <w:rFonts w:hint="eastAsia" w:cs="仿宋_GB2312"/>
          <w:sz w:val="21"/>
          <w:szCs w:val="21"/>
          <w:highlight w:val="none"/>
          <w:lang w:eastAsia="zh-CN"/>
        </w:rPr>
        <w:t>货物</w:t>
      </w:r>
      <w:r>
        <w:rPr>
          <w:rFonts w:hint="eastAsia" w:cs="仿宋_GB2312"/>
          <w:sz w:val="21"/>
          <w:szCs w:val="21"/>
          <w:highlight w:val="none"/>
        </w:rPr>
        <w:t>验收</w:t>
      </w:r>
      <w:r>
        <w:rPr>
          <w:rFonts w:hint="eastAsia" w:cs="仿宋_GB2312"/>
          <w:sz w:val="21"/>
          <w:szCs w:val="21"/>
          <w:highlight w:val="none"/>
          <w:lang w:eastAsia="zh-CN"/>
        </w:rPr>
        <w:t>交接单</w:t>
      </w:r>
      <w:r>
        <w:rPr>
          <w:rFonts w:hint="eastAsia" w:cs="仿宋_GB2312"/>
          <w:sz w:val="21"/>
          <w:szCs w:val="21"/>
          <w:highlight w:val="none"/>
        </w:rPr>
        <w:t>。</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eastAsia="宋体" w:cs="仿宋_GB2312"/>
          <w:sz w:val="21"/>
          <w:szCs w:val="21"/>
          <w:highlight w:val="none"/>
          <w:lang w:val="en-US" w:eastAsia="zh-CN"/>
        </w:rPr>
      </w:pPr>
      <w:r>
        <w:rPr>
          <w:rFonts w:hint="eastAsia" w:cs="仿宋_GB2312"/>
          <w:sz w:val="21"/>
          <w:szCs w:val="21"/>
          <w:highlight w:val="none"/>
        </w:rPr>
        <w:t>支付方式：</w:t>
      </w:r>
      <w:r>
        <w:rPr>
          <w:rFonts w:hint="eastAsia" w:cs="仿宋_GB2312"/>
          <w:sz w:val="21"/>
          <w:szCs w:val="21"/>
          <w:highlight w:val="none"/>
          <w:lang w:eastAsia="zh-CN"/>
        </w:rPr>
        <w:t>【</w:t>
      </w:r>
      <w:r>
        <w:rPr>
          <w:rFonts w:hint="eastAsia" w:cs="仿宋_GB2312"/>
          <w:sz w:val="21"/>
          <w:szCs w:val="21"/>
          <w:highlight w:val="none"/>
          <w:lang w:val="en-US" w:eastAsia="zh-CN"/>
        </w:rPr>
        <w:t xml:space="preserve">       </w:t>
      </w:r>
      <w:r>
        <w:rPr>
          <w:rFonts w:hint="eastAsia" w:cs="仿宋_GB2312"/>
          <w:sz w:val="21"/>
          <w:szCs w:val="21"/>
          <w:highlight w:val="none"/>
          <w:lang w:eastAsia="zh-CN"/>
        </w:rPr>
        <w:t>】</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eastAsia="宋体" w:cs="仿宋_GB2312"/>
          <w:sz w:val="21"/>
          <w:szCs w:val="21"/>
          <w:highlight w:val="none"/>
          <w:lang w:val="en-US" w:eastAsia="zh-CN"/>
        </w:rPr>
      </w:pPr>
      <w:r>
        <w:rPr>
          <w:rFonts w:hint="eastAsia" w:cs="仿宋_GB2312"/>
          <w:sz w:val="21"/>
          <w:szCs w:val="21"/>
          <w:highlight w:val="none"/>
          <w:lang w:eastAsia="zh-CN"/>
        </w:rPr>
        <w:t>履约保证金：签订合同前，乙方需交【</w:t>
      </w:r>
      <w:r>
        <w:rPr>
          <w:rFonts w:hint="eastAsia" w:cs="仿宋_GB2312"/>
          <w:sz w:val="21"/>
          <w:szCs w:val="21"/>
          <w:highlight w:val="none"/>
          <w:lang w:val="en-US" w:eastAsia="zh-CN"/>
        </w:rPr>
        <w:t xml:space="preserve">  </w:t>
      </w:r>
      <w:r>
        <w:rPr>
          <w:rFonts w:hint="eastAsia" w:cs="仿宋_GB2312"/>
          <w:sz w:val="21"/>
          <w:szCs w:val="21"/>
          <w:highlight w:val="none"/>
          <w:lang w:eastAsia="zh-CN"/>
        </w:rPr>
        <w:t>】元履约保证金，合同期内无服务质量问题，合同期满无息归还履约保证金。</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售后服务</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highlight w:val="none"/>
        </w:rPr>
      </w:pPr>
      <w:r>
        <w:rPr>
          <w:rFonts w:hint="eastAsia" w:ascii="宋体" w:hAnsi="宋体"/>
          <w:kern w:val="0"/>
          <w:sz w:val="21"/>
          <w:szCs w:val="21"/>
          <w:highlight w:val="none"/>
        </w:rPr>
        <w:t>除</w:t>
      </w:r>
      <w:r>
        <w:rPr>
          <w:rFonts w:hint="eastAsia" w:ascii="宋体" w:hAnsi="宋体" w:cs="仿宋_GB2312"/>
          <w:sz w:val="21"/>
          <w:szCs w:val="21"/>
          <w:highlight w:val="none"/>
        </w:rPr>
        <w:t>特别约定外，合同条款中标的物的质量保证期均自标的物通过最终验收之日起计算，且质量保证期为乙方承诺期限，乙方承诺对本项目提供</w:t>
      </w:r>
      <w:r>
        <w:rPr>
          <w:rFonts w:hint="eastAsia" w:ascii="宋体" w:hAnsi="宋体" w:cs="仿宋_GB2312"/>
          <w:sz w:val="21"/>
          <w:szCs w:val="21"/>
          <w:highlight w:val="none"/>
          <w:u w:val="single"/>
          <w:lang w:val="en-US" w:eastAsia="zh-CN"/>
        </w:rPr>
        <w:t>【  】</w:t>
      </w:r>
      <w:r>
        <w:rPr>
          <w:rFonts w:hint="eastAsia" w:ascii="宋体" w:hAnsi="宋体" w:cs="仿宋_GB2312"/>
          <w:sz w:val="21"/>
          <w:szCs w:val="21"/>
          <w:highlight w:val="none"/>
        </w:rPr>
        <w:t>的免费保修</w:t>
      </w:r>
      <w:r>
        <w:rPr>
          <w:rFonts w:hint="eastAsia" w:ascii="宋体" w:hAnsi="宋体" w:cs="仿宋_GB2312"/>
          <w:sz w:val="21"/>
          <w:szCs w:val="21"/>
          <w:highlight w:val="none"/>
          <w:lang w:val="en-US" w:eastAsia="zh-CN"/>
        </w:rPr>
        <w:t>期</w:t>
      </w:r>
      <w:r>
        <w:rPr>
          <w:rFonts w:hint="eastAsia" w:ascii="宋体" w:hAnsi="宋体" w:cs="仿宋_GB2312"/>
          <w:sz w:val="21"/>
          <w:szCs w:val="21"/>
          <w:highlight w:val="none"/>
        </w:rPr>
        <w:t>。</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highlight w:val="none"/>
        </w:rPr>
      </w:pPr>
      <w:r>
        <w:rPr>
          <w:rFonts w:hint="eastAsia" w:ascii="宋体" w:hAnsi="宋体" w:cs="仿宋_GB2312"/>
          <w:sz w:val="21"/>
          <w:szCs w:val="21"/>
          <w:highlight w:val="none"/>
        </w:rPr>
        <w:t>乙方应以优良的服务态度，具备7X24小时远程支持能力，必须2小时内响应，采购方如有需求，需在1.5小时内赶赴现场，24小时内完成采购方提出的售后要求，如需更换或送修需在2个工作日内完成。</w:t>
      </w:r>
      <w:r>
        <w:rPr>
          <w:rFonts w:hint="eastAsia" w:ascii="宋体" w:hAnsi="宋体" w:cs="仿宋_GB2312"/>
          <w:sz w:val="21"/>
          <w:szCs w:val="21"/>
          <w:highlight w:val="none"/>
          <w:lang w:val="en-US" w:eastAsia="zh-CN"/>
        </w:rPr>
        <w:t>售后服务联系人【   】；</w:t>
      </w:r>
      <w:r>
        <w:rPr>
          <w:rFonts w:hint="eastAsia" w:ascii="宋体" w:hAnsi="宋体" w:cs="仿宋_GB2312"/>
          <w:sz w:val="21"/>
          <w:szCs w:val="21"/>
          <w:highlight w:val="none"/>
          <w:lang w:eastAsia="zh-CN"/>
        </w:rPr>
        <w:t>售后服务电话</w:t>
      </w:r>
      <w:r>
        <w:rPr>
          <w:rFonts w:hint="eastAsia" w:ascii="宋体" w:hAnsi="宋体" w:cs="仿宋_GB2312"/>
          <w:sz w:val="21"/>
          <w:szCs w:val="21"/>
          <w:highlight w:val="none"/>
          <w:u w:val="single"/>
          <w:lang w:val="en-US" w:eastAsia="zh-CN"/>
        </w:rPr>
        <w:t xml:space="preserve"> 【  】。</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highlight w:val="none"/>
        </w:rPr>
      </w:pPr>
      <w:r>
        <w:rPr>
          <w:rFonts w:hint="eastAsia" w:ascii="宋体" w:hAnsi="宋体" w:cs="仿宋_GB2312"/>
          <w:sz w:val="21"/>
          <w:szCs w:val="21"/>
          <w:highlight w:val="none"/>
          <w:lang w:eastAsia="zh-CN"/>
        </w:rPr>
        <w:t>乙方</w:t>
      </w:r>
      <w:r>
        <w:rPr>
          <w:rFonts w:hint="eastAsia" w:ascii="宋体" w:hAnsi="宋体" w:cs="仿宋_GB2312"/>
          <w:sz w:val="21"/>
          <w:szCs w:val="21"/>
          <w:highlight w:val="none"/>
          <w:lang w:val="en-US" w:eastAsia="zh-CN"/>
        </w:rPr>
        <w:t>须</w:t>
      </w:r>
      <w:r>
        <w:rPr>
          <w:rFonts w:hint="eastAsia" w:ascii="宋体" w:hAnsi="宋体" w:cs="仿宋_GB2312"/>
          <w:sz w:val="21"/>
          <w:szCs w:val="21"/>
          <w:highlight w:val="none"/>
          <w:lang w:eastAsia="zh-CN"/>
        </w:rPr>
        <w:t>对甲方设备操作人员进行免费培训。</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cs="仿宋_GB2312"/>
          <w:sz w:val="21"/>
          <w:szCs w:val="21"/>
          <w:highlight w:val="none"/>
        </w:rPr>
        <w:t>其它按乙方</w:t>
      </w:r>
      <w:r>
        <w:rPr>
          <w:rFonts w:hint="eastAsia" w:ascii="宋体" w:hAnsi="宋体"/>
          <w:kern w:val="0"/>
          <w:sz w:val="21"/>
          <w:szCs w:val="21"/>
          <w:highlight w:val="none"/>
        </w:rPr>
        <w:t>响应文件及相关承诺中等同或优于谈判文件的要求执行。</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违约责任</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highlight w:val="none"/>
        </w:rPr>
      </w:pPr>
      <w:r>
        <w:rPr>
          <w:rFonts w:hint="eastAsia" w:ascii="宋体" w:hAnsi="宋体" w:cs="仿宋_GB2312"/>
          <w:sz w:val="21"/>
          <w:szCs w:val="21"/>
          <w:highlight w:val="none"/>
        </w:rPr>
        <w:t>甲方违约责任及违约金支付：</w:t>
      </w:r>
      <w:r>
        <w:rPr>
          <w:rFonts w:hint="eastAsia" w:ascii="宋体" w:hAnsi="宋体"/>
          <w:sz w:val="21"/>
          <w:szCs w:val="21"/>
          <w:highlight w:val="none"/>
        </w:rPr>
        <w:t>在</w:t>
      </w:r>
      <w:r>
        <w:rPr>
          <w:rFonts w:hint="eastAsia" w:ascii="宋体" w:hAnsi="宋体" w:cs="仿宋_GB2312"/>
          <w:sz w:val="21"/>
          <w:szCs w:val="21"/>
          <w:highlight w:val="none"/>
        </w:rPr>
        <w:t>合同生效后，甲方无理由要求退货的，应向乙方偿付合同总价款的5%，作为违约金，违约金不足以补偿损失的，乙方有权要求甲方补足。甲方逾期付款的应按照逾期付款金额的每天万分之四支付逾期付款违约金。甲方</w:t>
      </w:r>
      <w:r>
        <w:rPr>
          <w:rFonts w:hint="eastAsia" w:ascii="宋体" w:hAnsi="宋体"/>
          <w:sz w:val="21"/>
          <w:szCs w:val="21"/>
          <w:highlight w:val="none"/>
        </w:rPr>
        <w:t>违反合同规定，拒绝接受乙方交付的合格标的物，应当承担乙方由此造成的损失</w:t>
      </w:r>
      <w:r>
        <w:rPr>
          <w:rFonts w:hint="eastAsia" w:ascii="宋体" w:hAnsi="宋体" w:cs="仿宋_GB2312"/>
          <w:sz w:val="21"/>
          <w:szCs w:val="21"/>
          <w:highlight w:val="none"/>
        </w:rPr>
        <w:t>：</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0" w:right="0" w:rightChars="0"/>
        <w:jc w:val="left"/>
        <w:textAlignment w:val="auto"/>
        <w:rPr>
          <w:rFonts w:hint="eastAsia" w:ascii="宋体" w:hAnsi="宋体"/>
          <w:sz w:val="21"/>
          <w:szCs w:val="21"/>
          <w:highlight w:val="none"/>
        </w:rPr>
      </w:pPr>
      <w:r>
        <w:rPr>
          <w:rFonts w:hint="eastAsia" w:ascii="宋体" w:hAnsi="宋体" w:cs="仿宋_GB2312"/>
          <w:sz w:val="21"/>
          <w:szCs w:val="21"/>
          <w:highlight w:val="none"/>
          <w:lang w:val="en-US" w:eastAsia="zh-CN"/>
        </w:rPr>
        <w:t>8.2</w:t>
      </w:r>
      <w:r>
        <w:rPr>
          <w:rFonts w:hint="eastAsia" w:ascii="宋体" w:hAnsi="宋体" w:cs="仿宋_GB2312"/>
          <w:sz w:val="21"/>
          <w:szCs w:val="21"/>
          <w:highlight w:val="none"/>
        </w:rPr>
        <w:t>乙方违约责任及违约金支付：乙方不能交货</w:t>
      </w:r>
      <w:r>
        <w:rPr>
          <w:rFonts w:hint="eastAsia" w:ascii="宋体" w:hAnsi="宋体"/>
          <w:sz w:val="21"/>
          <w:szCs w:val="21"/>
          <w:highlight w:val="none"/>
        </w:rPr>
        <w:t>（逾期超过十五天视为不能交货），或交货不合格从而影响甲方按期正常使用的，应向甲方偿付合同总价款5%的违约金，违约金不足以补偿损失的甲方有权要求乙方补足。</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0" w:right="0" w:rightChars="0"/>
        <w:jc w:val="left"/>
        <w:textAlignment w:val="auto"/>
        <w:rPr>
          <w:rFonts w:hint="eastAsia"/>
          <w:sz w:val="21"/>
          <w:szCs w:val="21"/>
          <w:highlight w:val="none"/>
        </w:rPr>
      </w:pPr>
      <w:r>
        <w:rPr>
          <w:rFonts w:hint="eastAsia" w:ascii="宋体" w:hAnsi="宋体" w:cs="仿宋_GB2312"/>
          <w:sz w:val="21"/>
          <w:szCs w:val="21"/>
          <w:highlight w:val="none"/>
          <w:lang w:val="en-US" w:eastAsia="zh-CN"/>
        </w:rPr>
        <w:t>8.3</w:t>
      </w:r>
      <w:r>
        <w:rPr>
          <w:rFonts w:hint="eastAsia" w:ascii="宋体" w:hAnsi="宋体" w:cs="仿宋_GB2312"/>
          <w:sz w:val="21"/>
          <w:szCs w:val="21"/>
          <w:highlight w:val="none"/>
        </w:rPr>
        <w:t>乙方逾期交货的</w:t>
      </w:r>
      <w:r>
        <w:rPr>
          <w:rFonts w:hint="eastAsia" w:ascii="宋体" w:hAnsi="宋体"/>
          <w:sz w:val="21"/>
          <w:szCs w:val="21"/>
          <w:highlight w:val="none"/>
        </w:rPr>
        <w:t>，应在发货前与甲方协商，甲方仍需求的，乙方应立即发货并应按照逾期交货部分货款的每天</w:t>
      </w:r>
      <w:r>
        <w:rPr>
          <w:rFonts w:hint="eastAsia"/>
          <w:sz w:val="21"/>
          <w:szCs w:val="21"/>
          <w:highlight w:val="none"/>
        </w:rPr>
        <w:t>万分之四支付逾期交货违约金，同时承担甲方因此遭致的损失费用。</w:t>
      </w:r>
    </w:p>
    <w:p>
      <w:pPr>
        <w:keepNext w:val="0"/>
        <w:keepLines w:val="0"/>
        <w:pageBreakBefore w:val="0"/>
        <w:numPr>
          <w:ilvl w:val="0"/>
          <w:numId w:val="0"/>
        </w:numPr>
        <w:tabs>
          <w:tab w:val="left" w:pos="420"/>
        </w:tabs>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宋体" w:hAnsi="宋体"/>
          <w:sz w:val="21"/>
          <w:szCs w:val="21"/>
          <w:highlight w:val="none"/>
          <w:lang w:eastAsia="zh-CN"/>
        </w:rPr>
      </w:pPr>
      <w:r>
        <w:rPr>
          <w:rFonts w:hint="eastAsia"/>
          <w:sz w:val="21"/>
          <w:szCs w:val="21"/>
          <w:highlight w:val="none"/>
          <w:lang w:val="en-US" w:eastAsia="zh-CN"/>
        </w:rPr>
        <w:t>8.4</w:t>
      </w:r>
      <w:r>
        <w:rPr>
          <w:rFonts w:hint="eastAsia" w:ascii="宋体" w:hAnsi="宋体"/>
          <w:sz w:val="21"/>
          <w:szCs w:val="21"/>
          <w:highlight w:val="none"/>
          <w:lang w:eastAsia="zh-CN"/>
        </w:rPr>
        <w:t>乙方违反廉政责任，甲方可立即中止合同，乙方及相关人员除承担法律和经济责任外，并终身不得进入甲方市场。</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0" w:right="0" w:rightChars="0"/>
        <w:jc w:val="left"/>
        <w:textAlignment w:val="auto"/>
        <w:rPr>
          <w:rFonts w:hint="default" w:eastAsia="宋体"/>
          <w:sz w:val="21"/>
          <w:szCs w:val="21"/>
          <w:highlight w:val="none"/>
          <w:lang w:val="en-US" w:eastAsia="zh-CN"/>
        </w:rPr>
      </w:pP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lang w:eastAsia="zh-CN"/>
        </w:rPr>
        <w:t>廉政责任</w:t>
      </w:r>
    </w:p>
    <w:p>
      <w:pPr>
        <w:keepNext w:val="0"/>
        <w:keepLines w:val="0"/>
        <w:pageBreakBefore w:val="0"/>
        <w:widowControl w:val="0"/>
        <w:numPr>
          <w:ilvl w:val="1"/>
          <w:numId w:val="3"/>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ascii="宋体" w:hAnsi="宋体"/>
          <w:sz w:val="21"/>
          <w:szCs w:val="21"/>
          <w:highlight w:val="none"/>
        </w:rPr>
      </w:pPr>
      <w:r>
        <w:rPr>
          <w:rFonts w:hint="eastAsia" w:ascii="宋体" w:hAnsi="宋体"/>
          <w:sz w:val="21"/>
          <w:szCs w:val="21"/>
          <w:highlight w:val="none"/>
        </w:rPr>
        <w:t>应严格遵守国家关于市场准入、项目招标投标和市场活动等有关法律、法规，相关政策，以及廉政建设的各项规定。业务活动必须坚持公开、公平、公正、诚信、透明的原则(除法律法规另有规定者外)，不得为获取不正当的利益，损害国家、集体和对方利益，不得违反</w:t>
      </w:r>
      <w:r>
        <w:rPr>
          <w:rFonts w:hint="eastAsia" w:ascii="宋体" w:hAnsi="宋体"/>
          <w:sz w:val="21"/>
          <w:szCs w:val="21"/>
          <w:highlight w:val="none"/>
          <w:lang w:eastAsia="zh-CN"/>
        </w:rPr>
        <w:t>服务项目</w:t>
      </w:r>
      <w:r>
        <w:rPr>
          <w:rFonts w:hint="eastAsia" w:ascii="宋体" w:hAnsi="宋体"/>
          <w:sz w:val="21"/>
          <w:szCs w:val="21"/>
          <w:highlight w:val="none"/>
        </w:rPr>
        <w:t>管理的规章制度。</w:t>
      </w:r>
    </w:p>
    <w:p>
      <w:pPr>
        <w:keepNext w:val="0"/>
        <w:keepLines w:val="0"/>
        <w:pageBreakBefore w:val="0"/>
        <w:widowControl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cs="仿宋_GB2312"/>
          <w:b/>
          <w:sz w:val="21"/>
          <w:szCs w:val="21"/>
          <w:highlight w:val="none"/>
        </w:rPr>
      </w:pPr>
      <w:r>
        <w:rPr>
          <w:rFonts w:hint="eastAsia" w:ascii="宋体" w:hAnsi="宋体"/>
          <w:sz w:val="21"/>
          <w:szCs w:val="21"/>
          <w:highlight w:val="none"/>
        </w:rPr>
        <w:t>发现对方在业务活动中有违规、违纪、违法行为的，应及时提醒对方，情节严重的，应向其上级主管部门或纪检监察、司法等有关机关举报</w:t>
      </w:r>
      <w:r>
        <w:rPr>
          <w:rFonts w:hint="eastAsia" w:ascii="宋体" w:hAnsi="宋体"/>
          <w:sz w:val="21"/>
          <w:szCs w:val="21"/>
          <w:highlight w:val="none"/>
          <w:lang w:eastAsia="zh-CN"/>
        </w:rPr>
        <w:t>，</w:t>
      </w:r>
      <w:r>
        <w:rPr>
          <w:rFonts w:hint="eastAsia" w:ascii="宋体" w:hAnsi="宋体"/>
          <w:sz w:val="21"/>
          <w:szCs w:val="21"/>
          <w:highlight w:val="none"/>
        </w:rPr>
        <w:t>依据有关法律法规和规定给予党纪、政</w:t>
      </w:r>
      <w:r>
        <w:rPr>
          <w:rFonts w:hint="eastAsia" w:ascii="宋体" w:hAnsi="宋体"/>
          <w:sz w:val="21"/>
          <w:szCs w:val="21"/>
          <w:highlight w:val="none"/>
          <w:lang w:eastAsia="zh-CN"/>
        </w:rPr>
        <w:t>务</w:t>
      </w:r>
      <w:r>
        <w:rPr>
          <w:rFonts w:hint="eastAsia" w:ascii="宋体" w:hAnsi="宋体"/>
          <w:sz w:val="21"/>
          <w:szCs w:val="21"/>
          <w:highlight w:val="none"/>
        </w:rPr>
        <w:t>处分或组织处理；涉嫌犯罪的，移交司法机关追究刑事责任；给承包人单位造成经济损失的，应予以赔偿。</w:t>
      </w:r>
    </w:p>
    <w:p>
      <w:pPr>
        <w:keepNext w:val="0"/>
        <w:keepLines w:val="0"/>
        <w:pageBreakBefore w:val="0"/>
        <w:widowControl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sz w:val="21"/>
          <w:szCs w:val="21"/>
          <w:highlight w:val="none"/>
        </w:rPr>
      </w:pPr>
      <w:r>
        <w:rPr>
          <w:rFonts w:hint="eastAsia" w:ascii="宋体" w:hAnsi="宋体"/>
          <w:sz w:val="21"/>
          <w:szCs w:val="21"/>
          <w:highlight w:val="none"/>
        </w:rPr>
        <w:t>甲、乙双方应当保持正常的业务活动，不得产生非业务的活动，不得存在影响公正的行为。甲方不得要求、暗示或接受乙方提供的与利益相关的活动、安排和服务。乙方不得向甲方提供回扣、礼金、报销、为近亲属安排工作、旅游等存在利益输送的行为活动。</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保密责任与义务</w:t>
      </w:r>
    </w:p>
    <w:p>
      <w:pPr>
        <w:pStyle w:val="2"/>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10.1 </w:t>
      </w:r>
      <w:r>
        <w:rPr>
          <w:rFonts w:hint="eastAsia" w:ascii="宋体" w:hAnsi="宋体" w:eastAsia="宋体" w:cs="宋体"/>
          <w:sz w:val="21"/>
          <w:szCs w:val="21"/>
          <w:highlight w:val="none"/>
        </w:rPr>
        <w:t>乙方对本合同内容以及在本合同讨论、签订、履行过程中获悉的甲方的尚未公开的情报、资料和数据等信息（无论该等信息采取口头、书面、电子数据、图像或其他任何载体方式，以下称“保密信息”）予以保密。凡涉及执行本合同所需一切资料均为甲方的保密资料，属于保密范围，除非经甲方书面同意才可作为例外。</w:t>
      </w:r>
    </w:p>
    <w:p>
      <w:pPr>
        <w:pStyle w:val="2"/>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10.2 </w:t>
      </w:r>
      <w:r>
        <w:rPr>
          <w:rFonts w:hint="eastAsia" w:ascii="宋体" w:hAnsi="宋体" w:eastAsia="宋体" w:cs="宋体"/>
          <w:sz w:val="21"/>
          <w:szCs w:val="21"/>
          <w:highlight w:val="none"/>
        </w:rPr>
        <w:t>未经甲方事先的书面许可，乙方不得直接或间接向任何第三方（包括非参与本项目的员工）以任何方式提供或泄露保密信息，亦不得将保密信息用于本合同之外的任何其他用途。</w:t>
      </w:r>
    </w:p>
    <w:p>
      <w:pPr>
        <w:pStyle w:val="2"/>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10.3 </w:t>
      </w:r>
      <w:r>
        <w:rPr>
          <w:rFonts w:hint="eastAsia" w:ascii="宋体" w:hAnsi="宋体" w:eastAsia="宋体" w:cs="宋体"/>
          <w:sz w:val="21"/>
          <w:szCs w:val="21"/>
          <w:highlight w:val="none"/>
        </w:rPr>
        <w:t xml:space="preserve">乙方应确保相关参与人员严格遵守保密义务及相关法律法规，乙方人员违反保密规则的，乙方应承担违约责任。 </w:t>
      </w:r>
    </w:p>
    <w:p>
      <w:pPr>
        <w:pStyle w:val="2"/>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10.4</w:t>
      </w:r>
      <w:r>
        <w:rPr>
          <w:rFonts w:hint="eastAsia" w:ascii="宋体" w:hAnsi="宋体" w:eastAsia="宋体" w:cs="宋体"/>
          <w:sz w:val="21"/>
          <w:szCs w:val="21"/>
          <w:highlight w:val="none"/>
        </w:rPr>
        <w:t>乙方违反保密义务的，应向甲方支付违约金【1】万元，前述违约金不足以弥补甲方损失的，甲方有权向乙方索赔。乙方应当赔偿甲方因此遭受的一切损失，该损失包括但不限于直接损失、可预期利益损失、诉讼费、律师费、差旅费以及其他相关的费用。乙方触犯保密法律法规，乙方应自行承担全部法律责任。</w:t>
      </w:r>
    </w:p>
    <w:p>
      <w:pPr>
        <w:pStyle w:val="2"/>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10.5 </w:t>
      </w:r>
      <w:r>
        <w:rPr>
          <w:rFonts w:hint="eastAsia" w:ascii="宋体" w:hAnsi="宋体" w:eastAsia="宋体" w:cs="宋体"/>
          <w:sz w:val="21"/>
          <w:szCs w:val="21"/>
          <w:highlight w:val="none"/>
        </w:rPr>
        <w:t>保密期限：</w:t>
      </w:r>
    </w:p>
    <w:p>
      <w:pPr>
        <w:pStyle w:val="2"/>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乙方应对上述保密范围所约定的内容承担保密义务。自本项目开始日始至本项目约定的信息不再保密止。</w:t>
      </w:r>
    </w:p>
    <w:p>
      <w:pPr>
        <w:pStyle w:val="2"/>
        <w:ind w:left="0" w:leftChars="0" w:firstLine="0" w:firstLineChars="0"/>
        <w:rPr>
          <w:rFonts w:hint="eastAsia"/>
          <w:highlight w:val="none"/>
        </w:rPr>
      </w:pP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索赔</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shd w:val="clear" w:color="auto" w:fill="auto"/>
        </w:rPr>
      </w:pPr>
      <w:r>
        <w:rPr>
          <w:rFonts w:hint="eastAsia" w:cs="仿宋_GB2312"/>
          <w:sz w:val="21"/>
          <w:szCs w:val="21"/>
          <w:highlight w:val="none"/>
          <w:shd w:val="clear" w:color="auto" w:fill="auto"/>
        </w:rPr>
        <w:t>在本合同规定的检验期限和质量保证期内，如果乙方对甲方提出的索赔或差异有责任，则乙方应按甲方同意的下列一种或多种方式解决索赔事宜：</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0" w:right="0" w:rightChars="0"/>
        <w:jc w:val="left"/>
        <w:textAlignment w:val="auto"/>
        <w:rPr>
          <w:rFonts w:hint="eastAsia" w:cs="仿宋_GB2312"/>
          <w:sz w:val="21"/>
          <w:szCs w:val="21"/>
          <w:highlight w:val="none"/>
        </w:rPr>
      </w:pPr>
      <w:r>
        <w:rPr>
          <w:rFonts w:hint="eastAsia" w:cs="仿宋_GB2312"/>
          <w:sz w:val="21"/>
          <w:szCs w:val="21"/>
          <w:highlight w:val="none"/>
          <w:lang w:val="en-US" w:eastAsia="zh-CN"/>
        </w:rPr>
        <w:t xml:space="preserve">11.2 </w:t>
      </w:r>
      <w:r>
        <w:rPr>
          <w:rFonts w:hint="eastAsia" w:cs="仿宋_GB2312"/>
          <w:sz w:val="21"/>
          <w:szCs w:val="21"/>
          <w:highlight w:val="none"/>
        </w:rPr>
        <w:t>乙方同意退货，并按合同规定的货币将货款退还给甲方，并且承担由此发生的一切损失和费用，包括利息、银行手续费、运费、保险费、检验费、仓储费、装卸费以及为保护退回标的物所需的其他必要费用。</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0" w:right="0" w:rightChars="0"/>
        <w:jc w:val="left"/>
        <w:textAlignment w:val="auto"/>
        <w:rPr>
          <w:rFonts w:hint="eastAsia" w:cs="仿宋_GB2312"/>
          <w:sz w:val="21"/>
          <w:szCs w:val="21"/>
          <w:highlight w:val="none"/>
        </w:rPr>
      </w:pPr>
      <w:r>
        <w:rPr>
          <w:rFonts w:hint="eastAsia" w:cs="仿宋_GB2312"/>
          <w:sz w:val="21"/>
          <w:szCs w:val="21"/>
          <w:highlight w:val="none"/>
        </w:rPr>
        <w:t>根据标的物的低劣程度、损坏程度以及甲方遭受损失的数额，经双方协商确定降低的物的价格。</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0" w:right="0" w:rightChars="0"/>
        <w:jc w:val="left"/>
        <w:textAlignment w:val="auto"/>
        <w:rPr>
          <w:rFonts w:hint="eastAsia" w:cs="仿宋_GB2312"/>
          <w:sz w:val="21"/>
          <w:szCs w:val="21"/>
          <w:highlight w:val="none"/>
        </w:rPr>
      </w:pPr>
      <w:r>
        <w:rPr>
          <w:rFonts w:hint="eastAsia" w:cs="仿宋_GB2312"/>
          <w:sz w:val="21"/>
          <w:szCs w:val="21"/>
          <w:highlight w:val="none"/>
          <w:lang w:val="en-US" w:eastAsia="zh-CN"/>
        </w:rPr>
        <w:t xml:space="preserve">11.3 </w:t>
      </w:r>
      <w:r>
        <w:rPr>
          <w:rFonts w:hint="eastAsia" w:cs="仿宋_GB2312"/>
          <w:sz w:val="21"/>
          <w:szCs w:val="21"/>
          <w:highlight w:val="none"/>
        </w:rPr>
        <w:t>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240" w:lineRule="auto"/>
        <w:ind w:leftChars="0" w:right="0" w:rightChars="0"/>
        <w:jc w:val="left"/>
        <w:textAlignment w:val="auto"/>
        <w:rPr>
          <w:rFonts w:hint="eastAsia" w:cs="仿宋_GB2312"/>
          <w:sz w:val="21"/>
          <w:szCs w:val="21"/>
          <w:highlight w:val="none"/>
        </w:rPr>
      </w:pPr>
      <w:r>
        <w:rPr>
          <w:rFonts w:hint="eastAsia" w:cs="仿宋_GB2312"/>
          <w:sz w:val="21"/>
          <w:szCs w:val="21"/>
          <w:highlight w:val="none"/>
          <w:lang w:val="en-US" w:eastAsia="zh-CN"/>
        </w:rPr>
        <w:t xml:space="preserve">11.4 </w:t>
      </w:r>
      <w:r>
        <w:rPr>
          <w:rFonts w:hint="eastAsia" w:cs="仿宋_GB2312"/>
          <w:sz w:val="21"/>
          <w:szCs w:val="21"/>
          <w:highlight w:val="none"/>
        </w:rPr>
        <w:t xml:space="preserve">如果在甲方发出索赔通知后七天内，乙方未能答复，上述索赔应视为已被乙方接受。若乙方未在甲方提出索赔通知后七天内或甲方同意的更长时间内，按照合同规定的任何一种方法解决索赔事宜，甲方将从未付款或乙方开具的质量保证金中扣回索赔金额，如果这些金额不足以补偿索赔金额，甲方有权向乙方提出对不足部分的补偿。 </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合同的解除</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有下列情形之一，合同一方可以解除合同：</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200" w:right="0" w:rightChars="0"/>
        <w:jc w:val="left"/>
        <w:textAlignment w:val="auto"/>
        <w:rPr>
          <w:rFonts w:hint="eastAsia" w:cs="仿宋_GB2312"/>
          <w:sz w:val="21"/>
          <w:szCs w:val="21"/>
          <w:highlight w:val="none"/>
        </w:rPr>
      </w:pPr>
      <w:r>
        <w:rPr>
          <w:rFonts w:hint="eastAsia" w:cs="仿宋_GB2312"/>
          <w:sz w:val="21"/>
          <w:szCs w:val="21"/>
          <w:highlight w:val="none"/>
          <w:lang w:val="en-US" w:eastAsia="zh-CN"/>
        </w:rPr>
        <w:t>11.1.1</w:t>
      </w:r>
      <w:r>
        <w:rPr>
          <w:rFonts w:hint="eastAsia" w:cs="仿宋_GB2312"/>
          <w:sz w:val="21"/>
          <w:szCs w:val="21"/>
          <w:highlight w:val="none"/>
        </w:rPr>
        <w:t>因不可抗力致使不能实现合同目的，未受不可抗力影响的一方有权解除合同；</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200" w:right="0" w:rightChars="0"/>
        <w:jc w:val="left"/>
        <w:textAlignment w:val="auto"/>
        <w:rPr>
          <w:rFonts w:hint="eastAsia" w:cs="仿宋_GB2312"/>
          <w:sz w:val="21"/>
          <w:szCs w:val="21"/>
          <w:highlight w:val="none"/>
        </w:rPr>
      </w:pPr>
      <w:r>
        <w:rPr>
          <w:rFonts w:hint="eastAsia" w:cs="仿宋_GB2312"/>
          <w:sz w:val="21"/>
          <w:szCs w:val="21"/>
          <w:highlight w:val="none"/>
          <w:lang w:val="en-US" w:eastAsia="zh-CN"/>
        </w:rPr>
        <w:t>11.1.2</w:t>
      </w:r>
      <w:r>
        <w:rPr>
          <w:rFonts w:hint="eastAsia" w:cs="仿宋_GB2312"/>
          <w:sz w:val="21"/>
          <w:szCs w:val="21"/>
          <w:highlight w:val="none"/>
        </w:rPr>
        <w:t>因合同一方违约导致合同不能履行</w:t>
      </w:r>
      <w:r>
        <w:rPr>
          <w:rFonts w:hint="eastAsia" w:cs="仿宋_GB2312"/>
          <w:sz w:val="21"/>
          <w:szCs w:val="21"/>
          <w:highlight w:val="none"/>
          <w:lang w:val="en-US" w:eastAsia="zh-CN"/>
        </w:rPr>
        <w:t>的</w:t>
      </w:r>
      <w:r>
        <w:rPr>
          <w:rFonts w:hint="eastAsia" w:cs="仿宋_GB2312"/>
          <w:sz w:val="21"/>
          <w:szCs w:val="21"/>
          <w:highlight w:val="none"/>
        </w:rPr>
        <w:t>，另一方有权解除合同。</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有权解除合同的一方，应当在违约事实或不可抗力发生之后三十天内书面通知对方以主张解除合同，合同在书面通知到达对方时解除。</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争议解决办法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cs="仿宋_GB2312"/>
          <w:sz w:val="21"/>
          <w:szCs w:val="21"/>
          <w:highlight w:val="none"/>
        </w:rPr>
      </w:pPr>
      <w:r>
        <w:rPr>
          <w:rFonts w:hint="eastAsia" w:cs="仿宋_GB2312"/>
          <w:sz w:val="21"/>
          <w:szCs w:val="21"/>
          <w:highlight w:val="none"/>
        </w:rPr>
        <w:t>因本合同或与本合同有关的一切事项发生争议，由双方友好协商解决。协商不成的，任何一方均可选择向甲方所在地的人民法院起诉。</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不可抗力</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sz w:val="21"/>
          <w:szCs w:val="21"/>
          <w:highlight w:val="none"/>
        </w:rPr>
        <w:t>因不</w:t>
      </w:r>
      <w:r>
        <w:rPr>
          <w:rFonts w:hint="eastAsia" w:cs="仿宋_GB2312"/>
          <w:sz w:val="21"/>
          <w:szCs w:val="21"/>
          <w:highlight w:val="none"/>
        </w:rPr>
        <w:t>可抗力不能履行合同的，根据不可抗力的影响，部分或者全部免除责任。但合同一方延迟履行后发生不可抗力的，不能免除责任。</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合同一方因不可抗力不能履行合同的，应当及时通知对方，以减轻可能给对方造成的损失，并应当在合理期限内</w:t>
      </w:r>
      <w:r>
        <w:rPr>
          <w:rFonts w:hint="eastAsia"/>
          <w:sz w:val="21"/>
          <w:szCs w:val="21"/>
          <w:highlight w:val="none"/>
        </w:rPr>
        <w:t>提供证明。</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合同生效及其他</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sz w:val="21"/>
          <w:szCs w:val="21"/>
          <w:highlight w:val="none"/>
        </w:rPr>
      </w:pPr>
      <w:r>
        <w:rPr>
          <w:rFonts w:hint="eastAsia" w:cs="仿宋_GB2312"/>
          <w:sz w:val="21"/>
          <w:szCs w:val="21"/>
          <w:highlight w:val="none"/>
        </w:rPr>
        <w:t>本合同经双方法定（授权）代表人签字（或盖章）并盖单位公章（合同章）后生效。</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sz w:val="21"/>
          <w:szCs w:val="21"/>
          <w:highlight w:val="none"/>
        </w:rPr>
      </w:pPr>
      <w:r>
        <w:rPr>
          <w:rFonts w:hint="eastAsia" w:cs="仿宋_GB2312"/>
          <w:sz w:val="21"/>
          <w:szCs w:val="21"/>
          <w:highlight w:val="none"/>
        </w:rPr>
        <w:t>下列文件为本合同不可分割部分</w:t>
      </w:r>
      <w:r>
        <w:rPr>
          <w:rFonts w:hint="eastAsia"/>
          <w:sz w:val="21"/>
          <w:szCs w:val="21"/>
          <w:highlight w:val="none"/>
        </w:rPr>
        <w:t>：</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200" w:right="0" w:rightChars="0"/>
        <w:jc w:val="left"/>
        <w:textAlignment w:val="auto"/>
        <w:rPr>
          <w:rFonts w:hint="eastAsia" w:cs="仿宋_GB2312"/>
          <w:sz w:val="21"/>
          <w:szCs w:val="21"/>
          <w:highlight w:val="none"/>
        </w:rPr>
      </w:pPr>
      <w:r>
        <w:rPr>
          <w:rFonts w:hint="eastAsia" w:cs="仿宋_GB2312"/>
          <w:sz w:val="21"/>
          <w:szCs w:val="21"/>
          <w:highlight w:val="none"/>
          <w:lang w:val="en-US" w:eastAsia="zh-CN"/>
        </w:rPr>
        <w:t>14.2.1</w:t>
      </w:r>
      <w:r>
        <w:rPr>
          <w:rFonts w:hint="eastAsia" w:cs="仿宋_GB2312"/>
          <w:sz w:val="21"/>
          <w:szCs w:val="21"/>
          <w:highlight w:val="none"/>
        </w:rPr>
        <w:t>乙方的响应文件；</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200" w:right="0" w:rightChars="0"/>
        <w:jc w:val="left"/>
        <w:textAlignment w:val="auto"/>
        <w:rPr>
          <w:rFonts w:hint="eastAsia" w:cs="仿宋_GB2312"/>
          <w:sz w:val="21"/>
          <w:szCs w:val="21"/>
          <w:highlight w:val="none"/>
        </w:rPr>
      </w:pPr>
      <w:r>
        <w:rPr>
          <w:rFonts w:hint="eastAsia" w:cs="仿宋_GB2312"/>
          <w:sz w:val="21"/>
          <w:szCs w:val="21"/>
          <w:highlight w:val="none"/>
          <w:lang w:val="en-US" w:eastAsia="zh-CN"/>
        </w:rPr>
        <w:t>14.2.2</w:t>
      </w:r>
      <w:r>
        <w:rPr>
          <w:rFonts w:hint="eastAsia" w:cs="仿宋_GB2312"/>
          <w:sz w:val="21"/>
          <w:szCs w:val="21"/>
          <w:highlight w:val="none"/>
        </w:rPr>
        <w:t>乙方在招投标过程</w:t>
      </w:r>
      <w:r>
        <w:rPr>
          <w:rFonts w:hint="eastAsia"/>
          <w:sz w:val="21"/>
          <w:szCs w:val="21"/>
          <w:highlight w:val="none"/>
        </w:rPr>
        <w:t>中所作的其他承诺、声明、书面澄清等。</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highlight w:val="none"/>
        </w:rPr>
      </w:pPr>
      <w:r>
        <w:rPr>
          <w:rFonts w:hint="eastAsia" w:cs="仿宋_GB2312"/>
          <w:sz w:val="21"/>
          <w:szCs w:val="21"/>
          <w:highlight w:val="none"/>
        </w:rPr>
        <w:t>合同在执行过程中出现的未尽事宜，双方在不违背本合同和采购文件的原则下协商解决，协商结果以书面形式盖章记录在案，作为本合同的附件，与本合同具有同等效力。</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highlight w:val="none"/>
        </w:rPr>
      </w:pPr>
      <w:r>
        <w:rPr>
          <w:rFonts w:hint="eastAsia" w:cs="仿宋_GB2312"/>
          <w:sz w:val="21"/>
          <w:szCs w:val="21"/>
          <w:highlight w:val="none"/>
        </w:rPr>
        <w:t>本合同一式</w:t>
      </w:r>
      <w:r>
        <w:rPr>
          <w:rFonts w:hint="eastAsia" w:cs="仿宋_GB2312"/>
          <w:sz w:val="21"/>
          <w:szCs w:val="21"/>
          <w:highlight w:val="none"/>
          <w:u w:val="single"/>
          <w:lang w:eastAsia="zh-CN"/>
        </w:rPr>
        <w:t>【</w:t>
      </w:r>
      <w:r>
        <w:rPr>
          <w:rFonts w:hint="eastAsia" w:cs="仿宋_GB2312"/>
          <w:sz w:val="21"/>
          <w:szCs w:val="21"/>
          <w:highlight w:val="none"/>
          <w:u w:val="single"/>
          <w:lang w:val="en-US" w:eastAsia="zh-CN"/>
        </w:rPr>
        <w:t xml:space="preserve"> </w:t>
      </w:r>
      <w:r>
        <w:rPr>
          <w:rFonts w:hint="eastAsia" w:cs="仿宋_GB2312"/>
          <w:sz w:val="21"/>
          <w:szCs w:val="21"/>
          <w:highlight w:val="none"/>
          <w:u w:val="single"/>
          <w:lang w:eastAsia="zh-CN"/>
        </w:rPr>
        <w:t>】</w:t>
      </w:r>
      <w:r>
        <w:rPr>
          <w:rFonts w:hint="eastAsia" w:cs="仿宋_GB2312"/>
          <w:sz w:val="21"/>
          <w:szCs w:val="21"/>
          <w:highlight w:val="none"/>
        </w:rPr>
        <w:t>份，甲</w:t>
      </w:r>
      <w:r>
        <w:rPr>
          <w:rFonts w:hint="eastAsia" w:cs="仿宋_GB2312"/>
          <w:sz w:val="21"/>
          <w:szCs w:val="21"/>
          <w:highlight w:val="none"/>
          <w:lang w:eastAsia="zh-CN"/>
        </w:rPr>
        <w:t>方执【</w:t>
      </w:r>
      <w:r>
        <w:rPr>
          <w:rFonts w:hint="eastAsia" w:cs="仿宋_GB2312"/>
          <w:sz w:val="21"/>
          <w:szCs w:val="21"/>
          <w:highlight w:val="none"/>
          <w:lang w:val="en-US" w:eastAsia="zh-CN"/>
        </w:rPr>
        <w:t xml:space="preserve"> </w:t>
      </w:r>
      <w:r>
        <w:rPr>
          <w:rFonts w:hint="eastAsia" w:cs="仿宋_GB2312"/>
          <w:sz w:val="21"/>
          <w:szCs w:val="21"/>
          <w:highlight w:val="none"/>
          <w:lang w:eastAsia="zh-CN"/>
        </w:rPr>
        <w:t>】份</w:t>
      </w:r>
      <w:r>
        <w:rPr>
          <w:rFonts w:hint="eastAsia" w:cs="仿宋_GB2312"/>
          <w:sz w:val="21"/>
          <w:szCs w:val="21"/>
          <w:highlight w:val="none"/>
        </w:rPr>
        <w:t>、乙方执</w:t>
      </w:r>
      <w:r>
        <w:rPr>
          <w:rFonts w:hint="eastAsia" w:cs="仿宋_GB2312"/>
          <w:sz w:val="21"/>
          <w:szCs w:val="21"/>
          <w:highlight w:val="none"/>
          <w:lang w:val="en-US" w:eastAsia="zh-CN"/>
        </w:rPr>
        <w:t>壹</w:t>
      </w:r>
      <w:r>
        <w:rPr>
          <w:rFonts w:hint="eastAsia" w:cs="仿宋_GB2312"/>
          <w:sz w:val="21"/>
          <w:szCs w:val="21"/>
          <w:highlight w:val="none"/>
        </w:rPr>
        <w:t>份</w:t>
      </w:r>
      <w:r>
        <w:rPr>
          <w:rFonts w:hint="eastAsia" w:cs="仿宋_GB2312"/>
          <w:sz w:val="21"/>
          <w:szCs w:val="21"/>
          <w:highlight w:val="none"/>
          <w:lang w:eastAsia="zh-CN"/>
        </w:rPr>
        <w:t>，每份具有同等效力</w:t>
      </w:r>
      <w:r>
        <w:rPr>
          <w:rFonts w:hint="eastAsia" w:cs="仿宋_GB2312"/>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lang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lang w:eastAsia="zh-CN"/>
        </w:rPr>
      </w:pPr>
      <w:r>
        <w:rPr>
          <w:rFonts w:hint="eastAsia" w:ascii="宋体" w:hAnsi="宋体" w:cs="仿宋_GB2312"/>
          <w:szCs w:val="21"/>
          <w:highlight w:val="none"/>
          <w:lang w:eastAsia="zh-CN"/>
        </w:rPr>
        <w:t>（以下无正文，为签字页）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lang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lang w:eastAsia="zh-CN"/>
        </w:rPr>
      </w:pPr>
    </w:p>
    <w:tbl>
      <w:tblPr>
        <w:tblStyle w:val="12"/>
        <w:tblW w:w="0" w:type="auto"/>
        <w:jc w:val="center"/>
        <w:tblLayout w:type="fixed"/>
        <w:tblCellMar>
          <w:top w:w="0" w:type="dxa"/>
          <w:left w:w="108" w:type="dxa"/>
          <w:bottom w:w="0" w:type="dxa"/>
          <w:right w:w="108" w:type="dxa"/>
        </w:tblCellMar>
      </w:tblPr>
      <w:tblGrid>
        <w:gridCol w:w="5409"/>
        <w:gridCol w:w="4551"/>
      </w:tblGrid>
      <w:tr>
        <w:tblPrEx>
          <w:tblCellMar>
            <w:top w:w="0" w:type="dxa"/>
            <w:left w:w="108" w:type="dxa"/>
            <w:bottom w:w="0" w:type="dxa"/>
            <w:right w:w="108" w:type="dxa"/>
          </w:tblCellMar>
        </w:tblPrEx>
        <w:trPr>
          <w:trHeight w:val="1233" w:hRule="atLeast"/>
          <w:jc w:val="center"/>
        </w:trPr>
        <w:tc>
          <w:tcPr>
            <w:tcW w:w="540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甲方（盖章）：</w:t>
            </w:r>
            <w:r>
              <w:rPr>
                <w:rFonts w:hint="eastAsia" w:ascii="宋体" w:hAnsi="宋体" w:cs="仿宋_GB2312"/>
                <w:szCs w:val="21"/>
                <w:highlight w:val="none"/>
                <w:lang w:eastAsia="zh-CN"/>
              </w:rPr>
              <w:t>南通机场</w:t>
            </w:r>
            <w:r>
              <w:rPr>
                <w:rFonts w:hint="eastAsia" w:ascii="宋体" w:hAnsi="宋体" w:cs="仿宋_GB2312"/>
                <w:szCs w:val="21"/>
                <w:highlight w:val="none"/>
                <w:lang w:val="en-US" w:eastAsia="zh-CN"/>
              </w:rPr>
              <w:t>集团</w:t>
            </w:r>
            <w:r>
              <w:rPr>
                <w:rFonts w:hint="eastAsia" w:ascii="宋体" w:hAnsi="宋体" w:cs="仿宋_GB2312"/>
                <w:szCs w:val="21"/>
                <w:highlight w:val="none"/>
                <w:lang w:eastAsia="zh-CN"/>
              </w:rPr>
              <w:t>有限公司</w:t>
            </w:r>
          </w:p>
        </w:tc>
        <w:tc>
          <w:tcPr>
            <w:tcW w:w="455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乙方（盖章）：</w:t>
            </w:r>
          </w:p>
        </w:tc>
      </w:tr>
      <w:tr>
        <w:tblPrEx>
          <w:tblCellMar>
            <w:top w:w="0" w:type="dxa"/>
            <w:left w:w="108" w:type="dxa"/>
            <w:bottom w:w="0" w:type="dxa"/>
            <w:right w:w="108" w:type="dxa"/>
          </w:tblCellMar>
        </w:tblPrEx>
        <w:trPr>
          <w:trHeight w:val="364" w:hRule="atLeast"/>
          <w:jc w:val="center"/>
        </w:trPr>
        <w:tc>
          <w:tcPr>
            <w:tcW w:w="540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代理人（签字）：</w:t>
            </w:r>
          </w:p>
        </w:tc>
        <w:tc>
          <w:tcPr>
            <w:tcW w:w="455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代理人（签字）：</w:t>
            </w:r>
          </w:p>
        </w:tc>
      </w:tr>
      <w:tr>
        <w:tblPrEx>
          <w:tblCellMar>
            <w:top w:w="0" w:type="dxa"/>
            <w:left w:w="108" w:type="dxa"/>
            <w:bottom w:w="0" w:type="dxa"/>
            <w:right w:w="108" w:type="dxa"/>
          </w:tblCellMar>
        </w:tblPrEx>
        <w:trPr>
          <w:trHeight w:val="364" w:hRule="atLeast"/>
          <w:jc w:val="center"/>
        </w:trPr>
        <w:tc>
          <w:tcPr>
            <w:tcW w:w="540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c>
          <w:tcPr>
            <w:tcW w:w="455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r>
      <w:tr>
        <w:tblPrEx>
          <w:tblCellMar>
            <w:top w:w="0" w:type="dxa"/>
            <w:left w:w="108" w:type="dxa"/>
            <w:bottom w:w="0" w:type="dxa"/>
            <w:right w:w="108" w:type="dxa"/>
          </w:tblCellMar>
        </w:tblPrEx>
        <w:trPr>
          <w:trHeight w:val="364" w:hRule="atLeast"/>
          <w:jc w:val="center"/>
        </w:trPr>
        <w:tc>
          <w:tcPr>
            <w:tcW w:w="540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c>
          <w:tcPr>
            <w:tcW w:w="455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r>
      <w:tr>
        <w:tblPrEx>
          <w:tblCellMar>
            <w:top w:w="0" w:type="dxa"/>
            <w:left w:w="108" w:type="dxa"/>
            <w:bottom w:w="0" w:type="dxa"/>
            <w:right w:w="108" w:type="dxa"/>
          </w:tblCellMar>
        </w:tblPrEx>
        <w:trPr>
          <w:trHeight w:val="364" w:hRule="atLeast"/>
          <w:jc w:val="center"/>
        </w:trPr>
        <w:tc>
          <w:tcPr>
            <w:tcW w:w="540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日期</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年</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月</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日</w:t>
            </w:r>
          </w:p>
        </w:tc>
        <w:tc>
          <w:tcPr>
            <w:tcW w:w="455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日期</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年</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月</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日</w:t>
            </w:r>
          </w:p>
        </w:tc>
      </w:tr>
    </w:tbl>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olor w:val="000000"/>
          <w:kern w:val="0"/>
          <w:szCs w:val="21"/>
          <w:highlight w:val="none"/>
        </w:rPr>
      </w:pPr>
      <w:r>
        <w:rPr>
          <w:rFonts w:hint="eastAsia" w:ascii="宋体" w:hAnsi="宋体"/>
          <w:color w:val="000000"/>
          <w:kern w:val="0"/>
          <w:szCs w:val="21"/>
          <w:highlight w:val="none"/>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tbl>
      <w:tblPr>
        <w:tblStyle w:val="12"/>
        <w:tblW w:w="0" w:type="auto"/>
        <w:tblInd w:w="0" w:type="dxa"/>
        <w:tblLayout w:type="fixed"/>
        <w:tblCellMar>
          <w:top w:w="0" w:type="dxa"/>
          <w:left w:w="0" w:type="dxa"/>
          <w:bottom w:w="0" w:type="dxa"/>
          <w:right w:w="0" w:type="dxa"/>
        </w:tblCellMar>
      </w:tblPr>
      <w:tblGrid>
        <w:gridCol w:w="1190"/>
        <w:gridCol w:w="1830"/>
        <w:gridCol w:w="1093"/>
        <w:gridCol w:w="745"/>
        <w:gridCol w:w="1175"/>
        <w:gridCol w:w="745"/>
        <w:gridCol w:w="745"/>
        <w:gridCol w:w="1030"/>
        <w:gridCol w:w="1245"/>
      </w:tblGrid>
      <w:tr>
        <w:tblPrEx>
          <w:tblCellMar>
            <w:top w:w="0" w:type="dxa"/>
            <w:left w:w="0" w:type="dxa"/>
            <w:bottom w:w="0" w:type="dxa"/>
            <w:right w:w="0" w:type="dxa"/>
          </w:tblCellMar>
        </w:tblPrEx>
        <w:trPr>
          <w:trHeight w:val="800" w:hRule="atLeast"/>
        </w:trPr>
        <w:tc>
          <w:tcPr>
            <w:tcW w:w="9798" w:type="dxa"/>
            <w:gridSpan w:val="9"/>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highlight w:val="none"/>
                <w:u w:val="none"/>
                <w:lang w:val="en-US" w:eastAsia="zh-CN" w:bidi="ar"/>
              </w:rPr>
            </w:pPr>
            <w:r>
              <w:rPr>
                <w:rFonts w:hint="eastAsia" w:ascii="宋体" w:hAnsi="宋体" w:eastAsia="宋体" w:cs="宋体"/>
                <w:b w:val="0"/>
                <w:bCs/>
                <w:i w:val="0"/>
                <w:color w:val="000000"/>
                <w:kern w:val="0"/>
                <w:sz w:val="24"/>
                <w:szCs w:val="24"/>
                <w:highlight w:val="none"/>
                <w:u w:val="none"/>
                <w:lang w:val="en-US" w:eastAsia="zh-CN" w:bidi="ar"/>
              </w:rPr>
              <w:t>附件一</w:t>
            </w:r>
          </w:p>
          <w:p>
            <w:pPr>
              <w:keepNext w:val="0"/>
              <w:keepLines w:val="0"/>
              <w:widowControl/>
              <w:suppressLineNumbers w:val="0"/>
              <w:jc w:val="center"/>
              <w:textAlignment w:val="center"/>
              <w:rPr>
                <w:rFonts w:hint="eastAsia" w:ascii="宋体" w:hAnsi="宋体" w:eastAsia="宋体" w:cs="宋体"/>
                <w:b/>
                <w:i w:val="0"/>
                <w:color w:val="000000"/>
                <w:sz w:val="44"/>
                <w:szCs w:val="44"/>
                <w:highlight w:val="none"/>
                <w:u w:val="none"/>
              </w:rPr>
            </w:pPr>
            <w:r>
              <w:rPr>
                <w:rFonts w:hint="eastAsia" w:ascii="宋体" w:hAnsi="宋体" w:eastAsia="宋体" w:cs="宋体"/>
                <w:b/>
                <w:i w:val="0"/>
                <w:color w:val="000000"/>
                <w:kern w:val="0"/>
                <w:sz w:val="44"/>
                <w:szCs w:val="44"/>
                <w:highlight w:val="none"/>
                <w:u w:val="none"/>
                <w:lang w:val="en-US" w:eastAsia="zh-CN" w:bidi="ar"/>
              </w:rPr>
              <w:t>设备验收交接单</w:t>
            </w:r>
          </w:p>
        </w:tc>
      </w:tr>
      <w:tr>
        <w:tblPrEx>
          <w:tblCellMar>
            <w:top w:w="0" w:type="dxa"/>
            <w:left w:w="0" w:type="dxa"/>
            <w:bottom w:w="0" w:type="dxa"/>
            <w:right w:w="0"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项目名称</w:t>
            </w:r>
          </w:p>
        </w:tc>
        <w:tc>
          <w:tcPr>
            <w:tcW w:w="366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合同编号</w:t>
            </w:r>
          </w:p>
        </w:tc>
        <w:tc>
          <w:tcPr>
            <w:tcW w:w="376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60" w:hRule="atLeast"/>
        </w:trPr>
        <w:tc>
          <w:tcPr>
            <w:tcW w:w="11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供货单位</w:t>
            </w:r>
          </w:p>
        </w:tc>
        <w:tc>
          <w:tcPr>
            <w:tcW w:w="3668"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供货负责人</w:t>
            </w:r>
          </w:p>
        </w:tc>
        <w:tc>
          <w:tcPr>
            <w:tcW w:w="376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姓名：</w:t>
            </w:r>
          </w:p>
        </w:tc>
      </w:tr>
      <w:tr>
        <w:tblPrEx>
          <w:tblCellMar>
            <w:top w:w="0" w:type="dxa"/>
            <w:left w:w="0" w:type="dxa"/>
            <w:bottom w:w="0" w:type="dxa"/>
            <w:right w:w="0" w:type="dxa"/>
          </w:tblCellMar>
        </w:tblPrEx>
        <w:trPr>
          <w:trHeight w:val="360" w:hRule="atLeast"/>
        </w:trPr>
        <w:tc>
          <w:tcPr>
            <w:tcW w:w="11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668"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76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电话：</w:t>
            </w:r>
          </w:p>
        </w:tc>
      </w:tr>
      <w:tr>
        <w:tblPrEx>
          <w:tblCellMar>
            <w:top w:w="0" w:type="dxa"/>
            <w:left w:w="0" w:type="dxa"/>
            <w:bottom w:w="0" w:type="dxa"/>
            <w:right w:w="0" w:type="dxa"/>
          </w:tblCellMar>
        </w:tblPrEx>
        <w:trPr>
          <w:trHeight w:val="52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验收地点</w:t>
            </w:r>
          </w:p>
        </w:tc>
        <w:tc>
          <w:tcPr>
            <w:tcW w:w="366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验收日期</w:t>
            </w:r>
          </w:p>
        </w:tc>
        <w:tc>
          <w:tcPr>
            <w:tcW w:w="376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设备名称</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生产商</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规格型号</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数量</w:t>
            </w: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单价（元）</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金额（元）</w:t>
            </w:r>
          </w:p>
        </w:tc>
      </w:tr>
      <w:tr>
        <w:tblPrEx>
          <w:tblCellMar>
            <w:top w:w="0" w:type="dxa"/>
            <w:left w:w="0" w:type="dxa"/>
            <w:bottom w:w="0" w:type="dxa"/>
            <w:right w:w="0" w:type="dxa"/>
          </w:tblCellMar>
        </w:tblPrEx>
        <w:trPr>
          <w:trHeight w:val="52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6778"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验收内容</w:t>
            </w:r>
          </w:p>
        </w:tc>
        <w:tc>
          <w:tcPr>
            <w:tcW w:w="366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供货单位自查</w:t>
            </w:r>
          </w:p>
        </w:tc>
        <w:tc>
          <w:tcPr>
            <w:tcW w:w="49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验收单位结论</w:t>
            </w:r>
          </w:p>
        </w:tc>
      </w:tr>
      <w:tr>
        <w:tblPrEx>
          <w:tblCellMar>
            <w:top w:w="0" w:type="dxa"/>
            <w:left w:w="0" w:type="dxa"/>
            <w:bottom w:w="0" w:type="dxa"/>
            <w:right w:w="0" w:type="dxa"/>
          </w:tblCellMar>
        </w:tblPrEx>
        <w:trPr>
          <w:trHeight w:val="375"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技术参数</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05"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设备品牌</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90"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规格型号</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05"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设备外观</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20"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设备数量</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05"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备件配件</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05"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专用工具</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90"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文档资料</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05"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设备试行</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116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验收结论</w:t>
            </w:r>
          </w:p>
        </w:tc>
        <w:tc>
          <w:tcPr>
            <w:tcW w:w="860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30" w:hRule="atLeast"/>
        </w:trPr>
        <w:tc>
          <w:tcPr>
            <w:tcW w:w="11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参加验收单位</w:t>
            </w:r>
          </w:p>
        </w:tc>
        <w:tc>
          <w:tcPr>
            <w:tcW w:w="366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供货单位（盖章）</w:t>
            </w:r>
          </w:p>
        </w:tc>
        <w:tc>
          <w:tcPr>
            <w:tcW w:w="49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验收单位（盖章）</w:t>
            </w:r>
          </w:p>
        </w:tc>
      </w:tr>
      <w:tr>
        <w:tblPrEx>
          <w:tblCellMar>
            <w:top w:w="0" w:type="dxa"/>
            <w:left w:w="0" w:type="dxa"/>
            <w:bottom w:w="0" w:type="dxa"/>
            <w:right w:w="0" w:type="dxa"/>
          </w:tblCellMar>
        </w:tblPrEx>
        <w:trPr>
          <w:trHeight w:val="2340" w:hRule="atLeast"/>
        </w:trPr>
        <w:tc>
          <w:tcPr>
            <w:tcW w:w="11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     供货负责人：</w:t>
            </w:r>
          </w:p>
          <w:p>
            <w:pPr>
              <w:pStyle w:val="2"/>
              <w:rPr>
                <w:rFonts w:hint="eastAsia"/>
                <w:highlight w:val="none"/>
                <w:lang w:val="en-US" w:eastAsia="zh-CN"/>
              </w:rPr>
            </w:pPr>
          </w:p>
          <w:p>
            <w:pPr>
              <w:pStyle w:val="2"/>
              <w:rPr>
                <w:rFonts w:hint="eastAsia"/>
                <w:highlight w:val="none"/>
                <w:lang w:val="en-US" w:eastAsia="zh-CN"/>
              </w:rPr>
            </w:pPr>
          </w:p>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日期：  年  月  日</w:t>
            </w: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highlight w:val="none"/>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    </w:t>
            </w:r>
          </w:p>
          <w:p>
            <w:pPr>
              <w:pStyle w:val="2"/>
              <w:rPr>
                <w:rFonts w:hint="eastAsia"/>
                <w:highlight w:val="none"/>
                <w:lang w:val="en-US" w:eastAsia="zh-CN"/>
              </w:rPr>
            </w:pPr>
          </w:p>
          <w:p>
            <w:pPr>
              <w:keepNext w:val="0"/>
              <w:keepLines w:val="0"/>
              <w:widowControl/>
              <w:suppressLineNumbers w:val="0"/>
              <w:jc w:val="left"/>
              <w:textAlignment w:val="top"/>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     验收负责人：</w:t>
            </w:r>
          </w:p>
          <w:p>
            <w:pPr>
              <w:keepNext w:val="0"/>
              <w:keepLines w:val="0"/>
              <w:widowControl/>
              <w:suppressLineNumbers w:val="0"/>
              <w:jc w:val="left"/>
              <w:textAlignment w:val="top"/>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     </w:t>
            </w:r>
          </w:p>
          <w:p>
            <w:pPr>
              <w:pStyle w:val="2"/>
              <w:rPr>
                <w:rFonts w:hint="eastAsia"/>
                <w:highlight w:val="none"/>
                <w:lang w:val="en-US" w:eastAsia="zh-CN"/>
              </w:rPr>
            </w:pPr>
          </w:p>
          <w:p>
            <w:pPr>
              <w:keepNext w:val="0"/>
              <w:keepLines w:val="0"/>
              <w:widowControl/>
              <w:suppressLineNumbers w:val="0"/>
              <w:jc w:val="left"/>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日期：  年  月  日</w:t>
            </w:r>
          </w:p>
        </w:tc>
      </w:tr>
      <w:tr>
        <w:tblPrEx>
          <w:tblCellMar>
            <w:top w:w="0" w:type="dxa"/>
            <w:left w:w="0" w:type="dxa"/>
            <w:bottom w:w="0" w:type="dxa"/>
            <w:right w:w="0" w:type="dxa"/>
          </w:tblCellMar>
        </w:tblPrEx>
        <w:trPr>
          <w:trHeight w:val="270" w:hRule="atLeast"/>
        </w:trPr>
        <w:tc>
          <w:tcPr>
            <w:tcW w:w="9798" w:type="dxa"/>
            <w:gridSpan w:val="9"/>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注：一式四份，双方各二份</w:t>
            </w:r>
          </w:p>
        </w:tc>
      </w:tr>
    </w:tbl>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宋体" w:cs="宋体"/>
          <w:color w:val="000000"/>
          <w:kern w:val="0"/>
          <w:sz w:val="21"/>
          <w:szCs w:val="21"/>
          <w:highlight w:val="none"/>
        </w:rPr>
      </w:pPr>
    </w:p>
    <w:p>
      <w:pPr>
        <w:rPr>
          <w:rFonts w:hint="eastAsia"/>
          <w:highlight w:val="none"/>
        </w:rPr>
      </w:pPr>
    </w:p>
    <w:p>
      <w:pPr>
        <w:pageBreakBefore w:val="0"/>
        <w:kinsoku/>
        <w:wordWrap/>
        <w:overflowPunct/>
        <w:topLinePunct w:val="0"/>
        <w:bidi w:val="0"/>
        <w:adjustRightInd/>
        <w:snapToGrid/>
        <w:ind w:left="0" w:leftChars="0" w:right="0" w:rightChars="0"/>
        <w:rPr>
          <w:rFonts w:hint="eastAsia" w:ascii="仿宋" w:hAnsi="仿宋" w:eastAsia="仿宋" w:cs="仿宋"/>
          <w:b/>
          <w:bCs/>
          <w:color w:val="FF0000"/>
          <w:sz w:val="24"/>
          <w:szCs w:val="24"/>
          <w:highlight w:val="none"/>
          <w:lang w:eastAsia="zh-CN"/>
        </w:rPr>
      </w:pPr>
    </w:p>
    <w:p>
      <w:pPr>
        <w:pageBreakBefore w:val="0"/>
        <w:kinsoku/>
        <w:wordWrap/>
        <w:overflowPunct/>
        <w:topLinePunct w:val="0"/>
        <w:bidi w:val="0"/>
        <w:adjustRightInd/>
        <w:snapToGrid/>
        <w:ind w:left="0" w:leftChars="0" w:right="0" w:rightChars="0"/>
        <w:rPr>
          <w:rFonts w:hint="eastAsia" w:ascii="仿宋" w:hAnsi="仿宋" w:eastAsia="仿宋" w:cs="仿宋"/>
          <w:b/>
          <w:bCs/>
          <w:color w:val="FF0000"/>
          <w:sz w:val="32"/>
          <w:szCs w:val="32"/>
          <w:highlight w:val="none"/>
          <w:lang w:eastAsia="zh-CN"/>
        </w:rPr>
      </w:pPr>
      <w:r>
        <w:rPr>
          <w:rFonts w:hint="eastAsia" w:ascii="仿宋" w:hAnsi="仿宋" w:eastAsia="仿宋" w:cs="仿宋"/>
          <w:b/>
          <w:bCs/>
          <w:color w:val="FF0000"/>
          <w:sz w:val="32"/>
          <w:szCs w:val="32"/>
          <w:highlight w:val="none"/>
          <w:lang w:eastAsia="zh-CN"/>
        </w:rPr>
        <w:t>其他格式请响应供应商自拟</w:t>
      </w: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p>
    <w:p>
      <w:pPr>
        <w:rPr>
          <w:highlight w:val="none"/>
        </w:rPr>
      </w:pPr>
    </w:p>
    <w:sectPr>
      <w:footerReference r:id="rId3" w:type="default"/>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58583"/>
    <w:multiLevelType w:val="singleLevel"/>
    <w:tmpl w:val="A4658583"/>
    <w:lvl w:ilvl="0" w:tentative="0">
      <w:start w:val="2"/>
      <w:numFmt w:val="chineseCounting"/>
      <w:suff w:val="nothing"/>
      <w:lvlText w:val="%1、"/>
      <w:lvlJc w:val="left"/>
      <w:rPr>
        <w:rFonts w:hint="eastAsia"/>
      </w:rPr>
    </w:lvl>
  </w:abstractNum>
  <w:abstractNum w:abstractNumId="1">
    <w:nsid w:val="BBF00CFE"/>
    <w:multiLevelType w:val="singleLevel"/>
    <w:tmpl w:val="BBF00CFE"/>
    <w:lvl w:ilvl="0" w:tentative="0">
      <w:start w:val="1"/>
      <w:numFmt w:val="decimalEnclosedCircleChinese"/>
      <w:suff w:val="nothing"/>
      <w:lvlText w:val="%1　"/>
      <w:lvlJc w:val="left"/>
      <w:pPr>
        <w:ind w:left="0" w:firstLine="400"/>
      </w:pPr>
      <w:rPr>
        <w:rFonts w:hint="eastAsia"/>
      </w:rPr>
    </w:lvl>
  </w:abstractNum>
  <w:abstractNum w:abstractNumId="2">
    <w:nsid w:val="11923D21"/>
    <w:multiLevelType w:val="multilevel"/>
    <w:tmpl w:val="11923D21"/>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69F9E59A"/>
    <w:multiLevelType w:val="singleLevel"/>
    <w:tmpl w:val="69F9E59A"/>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YjU2ZjM1YTYxY2VlNTZkOGMwYTU3NmIzM2Q1MjYifQ=="/>
    <w:docVar w:name="KSO_WPS_MARK_KEY" w:val="52bc92cb-8654-4692-ae3c-bc088791fb4b"/>
  </w:docVars>
  <w:rsids>
    <w:rsidRoot w:val="5D1C47BC"/>
    <w:rsid w:val="018E7169"/>
    <w:rsid w:val="02BA21E0"/>
    <w:rsid w:val="03914CEF"/>
    <w:rsid w:val="04E64942"/>
    <w:rsid w:val="053310E2"/>
    <w:rsid w:val="0699038A"/>
    <w:rsid w:val="06B144F8"/>
    <w:rsid w:val="06E0142D"/>
    <w:rsid w:val="07550729"/>
    <w:rsid w:val="084542FA"/>
    <w:rsid w:val="099A0675"/>
    <w:rsid w:val="0A273CBB"/>
    <w:rsid w:val="0AD60006"/>
    <w:rsid w:val="0B3A2110"/>
    <w:rsid w:val="0B8C77A9"/>
    <w:rsid w:val="0CC86893"/>
    <w:rsid w:val="0DCE04B7"/>
    <w:rsid w:val="0E7A6BAF"/>
    <w:rsid w:val="0EA0672E"/>
    <w:rsid w:val="10C55145"/>
    <w:rsid w:val="10EA3C90"/>
    <w:rsid w:val="111908F5"/>
    <w:rsid w:val="111927C8"/>
    <w:rsid w:val="11755C50"/>
    <w:rsid w:val="117619C8"/>
    <w:rsid w:val="13294F44"/>
    <w:rsid w:val="141C55A3"/>
    <w:rsid w:val="14F87796"/>
    <w:rsid w:val="15097A8D"/>
    <w:rsid w:val="152E4D98"/>
    <w:rsid w:val="17487963"/>
    <w:rsid w:val="175207E1"/>
    <w:rsid w:val="17822E75"/>
    <w:rsid w:val="188C0921"/>
    <w:rsid w:val="18955D8E"/>
    <w:rsid w:val="18E216F1"/>
    <w:rsid w:val="1946311D"/>
    <w:rsid w:val="196F43D6"/>
    <w:rsid w:val="19F16090"/>
    <w:rsid w:val="1A7016AA"/>
    <w:rsid w:val="1AF00AD0"/>
    <w:rsid w:val="1BBA4792"/>
    <w:rsid w:val="1C1142AB"/>
    <w:rsid w:val="1D0B1216"/>
    <w:rsid w:val="1D484219"/>
    <w:rsid w:val="1D4A4FD4"/>
    <w:rsid w:val="1E54699B"/>
    <w:rsid w:val="1F686DF4"/>
    <w:rsid w:val="1FD8244E"/>
    <w:rsid w:val="215D225D"/>
    <w:rsid w:val="21AE3C43"/>
    <w:rsid w:val="22237002"/>
    <w:rsid w:val="22456F79"/>
    <w:rsid w:val="228D0920"/>
    <w:rsid w:val="22F2312F"/>
    <w:rsid w:val="22F95FB5"/>
    <w:rsid w:val="23922838"/>
    <w:rsid w:val="250E5D48"/>
    <w:rsid w:val="26AC3A6A"/>
    <w:rsid w:val="2720680E"/>
    <w:rsid w:val="27764078"/>
    <w:rsid w:val="279B6D94"/>
    <w:rsid w:val="28463A4A"/>
    <w:rsid w:val="28D161B6"/>
    <w:rsid w:val="292F2731"/>
    <w:rsid w:val="29C42E79"/>
    <w:rsid w:val="29D137E8"/>
    <w:rsid w:val="2AA52384"/>
    <w:rsid w:val="2AF04EFB"/>
    <w:rsid w:val="2B430715"/>
    <w:rsid w:val="2BF81500"/>
    <w:rsid w:val="2C7C3EDF"/>
    <w:rsid w:val="2D0D2D89"/>
    <w:rsid w:val="2D3D250B"/>
    <w:rsid w:val="2D3F7B01"/>
    <w:rsid w:val="2D840D3F"/>
    <w:rsid w:val="2D9173B5"/>
    <w:rsid w:val="2E770969"/>
    <w:rsid w:val="2E9848D4"/>
    <w:rsid w:val="2FCC21FD"/>
    <w:rsid w:val="2FFF10AF"/>
    <w:rsid w:val="323446FA"/>
    <w:rsid w:val="326B7E18"/>
    <w:rsid w:val="32BF4E5A"/>
    <w:rsid w:val="32D23ADB"/>
    <w:rsid w:val="34192013"/>
    <w:rsid w:val="348C4974"/>
    <w:rsid w:val="34FA7EFA"/>
    <w:rsid w:val="35FF438E"/>
    <w:rsid w:val="364C1591"/>
    <w:rsid w:val="367479D5"/>
    <w:rsid w:val="36DB3EF8"/>
    <w:rsid w:val="37D20E57"/>
    <w:rsid w:val="383F10B5"/>
    <w:rsid w:val="385664A3"/>
    <w:rsid w:val="392500A7"/>
    <w:rsid w:val="3A4C4426"/>
    <w:rsid w:val="3A694C29"/>
    <w:rsid w:val="3B3C308E"/>
    <w:rsid w:val="3C6F162B"/>
    <w:rsid w:val="3C904A1E"/>
    <w:rsid w:val="3CA32DC2"/>
    <w:rsid w:val="3D766728"/>
    <w:rsid w:val="3DA863C5"/>
    <w:rsid w:val="3DEE124B"/>
    <w:rsid w:val="3DF446EF"/>
    <w:rsid w:val="3DF6163A"/>
    <w:rsid w:val="3E8760C3"/>
    <w:rsid w:val="3EE85404"/>
    <w:rsid w:val="3F52287D"/>
    <w:rsid w:val="3FE756BB"/>
    <w:rsid w:val="40842F0A"/>
    <w:rsid w:val="40BE230F"/>
    <w:rsid w:val="425A4979"/>
    <w:rsid w:val="42703354"/>
    <w:rsid w:val="428C42F8"/>
    <w:rsid w:val="42D54AEF"/>
    <w:rsid w:val="43EE526A"/>
    <w:rsid w:val="443D1D4E"/>
    <w:rsid w:val="44BD4C3D"/>
    <w:rsid w:val="44CF10B4"/>
    <w:rsid w:val="462C02CC"/>
    <w:rsid w:val="465C5383"/>
    <w:rsid w:val="46BA7686"/>
    <w:rsid w:val="46ED486F"/>
    <w:rsid w:val="487F366E"/>
    <w:rsid w:val="48DE1728"/>
    <w:rsid w:val="48E704DA"/>
    <w:rsid w:val="49156DF5"/>
    <w:rsid w:val="496E0566"/>
    <w:rsid w:val="4991295F"/>
    <w:rsid w:val="49C760B9"/>
    <w:rsid w:val="4AEB2170"/>
    <w:rsid w:val="4B4048E2"/>
    <w:rsid w:val="4C1A0AE0"/>
    <w:rsid w:val="4CDD5E7C"/>
    <w:rsid w:val="4D3161C8"/>
    <w:rsid w:val="4ED355A0"/>
    <w:rsid w:val="4EFE032C"/>
    <w:rsid w:val="4F7A3E56"/>
    <w:rsid w:val="504306EC"/>
    <w:rsid w:val="50D43FAF"/>
    <w:rsid w:val="512F0C70"/>
    <w:rsid w:val="517843C5"/>
    <w:rsid w:val="51EE0B2B"/>
    <w:rsid w:val="52AD6B4F"/>
    <w:rsid w:val="53037746"/>
    <w:rsid w:val="53095C1D"/>
    <w:rsid w:val="534872B8"/>
    <w:rsid w:val="54A13C33"/>
    <w:rsid w:val="556C4241"/>
    <w:rsid w:val="55B91D34"/>
    <w:rsid w:val="55C2323E"/>
    <w:rsid w:val="55FA184D"/>
    <w:rsid w:val="5635234D"/>
    <w:rsid w:val="56C24F33"/>
    <w:rsid w:val="56E00BDE"/>
    <w:rsid w:val="56EF3C74"/>
    <w:rsid w:val="57144B90"/>
    <w:rsid w:val="581B1F4E"/>
    <w:rsid w:val="583A1D13"/>
    <w:rsid w:val="597178AC"/>
    <w:rsid w:val="5A696FA1"/>
    <w:rsid w:val="5B310008"/>
    <w:rsid w:val="5D1C47BC"/>
    <w:rsid w:val="5D21506C"/>
    <w:rsid w:val="5D287680"/>
    <w:rsid w:val="5EAE07E6"/>
    <w:rsid w:val="5EDB649E"/>
    <w:rsid w:val="5FD650D9"/>
    <w:rsid w:val="608B2761"/>
    <w:rsid w:val="60956D42"/>
    <w:rsid w:val="609B3C2C"/>
    <w:rsid w:val="60BA5D81"/>
    <w:rsid w:val="60CC05C6"/>
    <w:rsid w:val="60E6088C"/>
    <w:rsid w:val="61F23D20"/>
    <w:rsid w:val="63F83144"/>
    <w:rsid w:val="64AD3F2E"/>
    <w:rsid w:val="65A45331"/>
    <w:rsid w:val="66036F85"/>
    <w:rsid w:val="66D41C46"/>
    <w:rsid w:val="67423054"/>
    <w:rsid w:val="675E41E3"/>
    <w:rsid w:val="677D0530"/>
    <w:rsid w:val="67D50A60"/>
    <w:rsid w:val="68A456BA"/>
    <w:rsid w:val="68CA6CAA"/>
    <w:rsid w:val="695E2765"/>
    <w:rsid w:val="6B8846B5"/>
    <w:rsid w:val="6C44161C"/>
    <w:rsid w:val="6CAD5413"/>
    <w:rsid w:val="6CDE22C8"/>
    <w:rsid w:val="6CE96D26"/>
    <w:rsid w:val="6D5924DA"/>
    <w:rsid w:val="6E1A7B90"/>
    <w:rsid w:val="6E6B7334"/>
    <w:rsid w:val="6EEC3AB1"/>
    <w:rsid w:val="6EF235B1"/>
    <w:rsid w:val="6FA80114"/>
    <w:rsid w:val="700F7F46"/>
    <w:rsid w:val="70207CAA"/>
    <w:rsid w:val="706B361B"/>
    <w:rsid w:val="70716758"/>
    <w:rsid w:val="70785D38"/>
    <w:rsid w:val="71015D2D"/>
    <w:rsid w:val="725D5E29"/>
    <w:rsid w:val="737740A7"/>
    <w:rsid w:val="747302C2"/>
    <w:rsid w:val="749568DD"/>
    <w:rsid w:val="74E03EAC"/>
    <w:rsid w:val="75AB270C"/>
    <w:rsid w:val="76B93805"/>
    <w:rsid w:val="77242776"/>
    <w:rsid w:val="77F739E6"/>
    <w:rsid w:val="79C943F8"/>
    <w:rsid w:val="7B4C7361"/>
    <w:rsid w:val="7B8C6B3B"/>
    <w:rsid w:val="7BFC0613"/>
    <w:rsid w:val="7E952BC4"/>
    <w:rsid w:val="7EC1594C"/>
    <w:rsid w:val="7FC91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四级标题"/>
    <w:basedOn w:val="3"/>
    <w:qFormat/>
    <w:uiPriority w:val="0"/>
    <w:rPr>
      <w:rFonts w:eastAsia="黑体" w:cs="Times New Roman"/>
    </w:rPr>
  </w:style>
  <w:style w:type="paragraph" w:styleId="3">
    <w:name w:val="Date"/>
    <w:basedOn w:val="1"/>
    <w:next w:val="1"/>
    <w:qFormat/>
    <w:uiPriority w:val="0"/>
    <w:pPr>
      <w:ind w:left="100" w:leftChars="2500"/>
    </w:pPr>
    <w:rPr>
      <w:kern w:val="0"/>
      <w:sz w:val="20"/>
      <w:szCs w:val="24"/>
    </w:rPr>
  </w:style>
  <w:style w:type="paragraph" w:styleId="6">
    <w:name w:val="annotation text"/>
    <w:basedOn w:val="1"/>
    <w:qFormat/>
    <w:uiPriority w:val="0"/>
    <w:pPr>
      <w:jc w:val="left"/>
    </w:pPr>
  </w:style>
  <w:style w:type="paragraph" w:styleId="7">
    <w:name w:val="Body Text"/>
    <w:basedOn w:val="1"/>
    <w:next w:val="1"/>
    <w:qFormat/>
    <w:uiPriority w:val="0"/>
    <w:rPr>
      <w:rFonts w:ascii="仿宋_GB2312" w:eastAsia="仿宋_GB2312"/>
      <w:kern w:val="0"/>
      <w:sz w:val="24"/>
      <w:szCs w:val="20"/>
    </w:rPr>
  </w:style>
  <w:style w:type="paragraph" w:styleId="8">
    <w:name w:val="Plain Text"/>
    <w:basedOn w:val="1"/>
    <w:qFormat/>
    <w:uiPriority w:val="99"/>
    <w:rPr>
      <w:rFonts w:ascii="宋体" w:hAnsi="Courier New"/>
      <w:sz w:val="28"/>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99"/>
    <w:pPr>
      <w:spacing w:beforeAutospacing="1" w:afterAutospacing="1"/>
      <w:jc w:val="left"/>
    </w:pPr>
    <w:rPr>
      <w:kern w:val="0"/>
      <w:sz w:val="24"/>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99"/>
    <w:rPr>
      <w:rFonts w:cs="Times New Roman"/>
    </w:rPr>
  </w:style>
  <w:style w:type="character" w:styleId="16">
    <w:name w:val="Hyperlink"/>
    <w:semiHidden/>
    <w:qFormat/>
    <w:uiPriority w:val="99"/>
    <w:rPr>
      <w:rFonts w:cs="Times New Roman"/>
      <w:color w:val="0000FF"/>
      <w:u w:val="single"/>
    </w:rPr>
  </w:style>
  <w:style w:type="paragraph" w:customStyle="1" w:styleId="17">
    <w:name w:val="第二层标题"/>
    <w:basedOn w:val="4"/>
    <w:qFormat/>
    <w:uiPriority w:val="0"/>
    <w:pPr>
      <w:spacing w:before="140" w:after="140" w:line="400" w:lineRule="exact"/>
    </w:pPr>
    <w:rPr>
      <w:b w:val="0"/>
      <w:sz w:val="28"/>
      <w:szCs w:val="28"/>
    </w:rPr>
  </w:style>
  <w:style w:type="paragraph" w:customStyle="1" w:styleId="18">
    <w:name w:val="*正文"/>
    <w:basedOn w:val="1"/>
    <w:qFormat/>
    <w:uiPriority w:val="0"/>
    <w:pPr>
      <w:widowControl/>
      <w:spacing w:line="360" w:lineRule="auto"/>
      <w:ind w:left="200" w:leftChars="200" w:firstLine="437"/>
      <w:jc w:val="left"/>
    </w:pPr>
    <w:rPr>
      <w:rFonts w:ascii="宋体" w:hAnsi="宋体" w:eastAsia="等线"/>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12240</Words>
  <Characters>12703</Characters>
  <Lines>0</Lines>
  <Paragraphs>0</Paragraphs>
  <TotalTime>8</TotalTime>
  <ScaleCrop>false</ScaleCrop>
  <LinksUpToDate>false</LinksUpToDate>
  <CharactersWithSpaces>13428</CharactersWithSpaces>
  <Application>WPS Office_11.1.0.14179_F1E327BC-269C-435d-A152-05C5408002CA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2022-09-09T01:09:00Z</dcterms:created>
  <dc:creator>朱琦</dc:creator>
  <cp:lastModifiedBy>季风</cp:lastModifiedBy>
  <dcterms:modified xsi:type="dcterms:W3CDTF">2024-06-14T05:58:33Z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2052-11.1.0.14179</vt:lpwstr>
  </property>
  <property fmtid="{D5CDD505-2E9C-101B-9397-08002B2CF9AE}" pid="3" name="ICV">
    <vt:lpwstr>A3FFD58991DD4542BD22F9F03CA0B19B_13</vt:lpwstr>
  </property>
</Properties>
</file>