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cs="宋体"/>
          <w:b/>
          <w:sz w:val="44"/>
          <w:szCs w:val="44"/>
          <w:highlight w:val="none"/>
          <w:lang w:val="en-US" w:eastAsia="zh-CN"/>
        </w:rPr>
      </w:pPr>
      <w:r>
        <w:rPr>
          <w:rFonts w:hint="eastAsia" w:ascii="宋体" w:hAnsi="宋体" w:eastAsia="宋体" w:cs="宋体"/>
          <w:b/>
          <w:sz w:val="44"/>
          <w:szCs w:val="44"/>
          <w:highlight w:val="none"/>
        </w:rPr>
        <w:t>南通</w:t>
      </w:r>
      <w:r>
        <w:rPr>
          <w:rFonts w:hint="eastAsia" w:ascii="宋体" w:hAnsi="宋体" w:eastAsia="宋体" w:cs="宋体"/>
          <w:b/>
          <w:sz w:val="44"/>
          <w:szCs w:val="44"/>
          <w:highlight w:val="none"/>
          <w:lang w:eastAsia="zh-CN"/>
        </w:rPr>
        <w:t>兴东国际机场</w:t>
      </w:r>
      <w:r>
        <w:rPr>
          <w:rFonts w:hint="eastAsia" w:ascii="宋体" w:hAnsi="宋体" w:cs="宋体"/>
          <w:b/>
          <w:sz w:val="44"/>
          <w:szCs w:val="44"/>
          <w:highlight w:val="none"/>
          <w:lang w:val="en-US" w:eastAsia="zh-CN"/>
        </w:rPr>
        <w:t>综合安防管理平台升级</w:t>
      </w:r>
    </w:p>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综合安防管理平台升级</w:t>
      </w:r>
      <w:r>
        <w:rPr>
          <w:rFonts w:hint="eastAsia" w:ascii="仿宋" w:hAnsi="仿宋" w:eastAsia="仿宋" w:cs="仿宋"/>
          <w:highlight w:val="none"/>
          <w:shd w:val="clear" w:color="auto" w:fill="FFFFFF"/>
        </w:rPr>
        <w:t>进行</w:t>
      </w:r>
      <w:r>
        <w:rPr>
          <w:rFonts w:hint="eastAsia" w:ascii="仿宋" w:hAnsi="仿宋" w:eastAsia="仿宋" w:cs="仿宋"/>
          <w:highlight w:val="none"/>
          <w:shd w:val="clear" w:color="auto" w:fill="FFFFFF"/>
          <w:lang w:val="en-US" w:eastAsia="zh-CN"/>
        </w:rPr>
        <w:t>竞争性磋商方式</w:t>
      </w:r>
      <w:r>
        <w:rPr>
          <w:rFonts w:hint="eastAsia" w:ascii="仿宋" w:hAnsi="仿宋" w:eastAsia="仿宋" w:cs="仿宋"/>
          <w:highlight w:val="none"/>
          <w:shd w:val="clear" w:color="auto" w:fill="FFFFFF"/>
        </w:rPr>
        <w:t>采购，特邀请符合条件的供应商参加。</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JCJT-ZC</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2024053</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项目名称：南通</w:t>
      </w:r>
      <w:r>
        <w:rPr>
          <w:rFonts w:hint="eastAsia" w:ascii="仿宋" w:hAnsi="仿宋" w:eastAsia="仿宋" w:cs="仿宋"/>
          <w:highlight w:val="none"/>
          <w:shd w:val="clear" w:color="auto" w:fill="FFFFFF"/>
          <w:lang w:eastAsia="zh-CN"/>
        </w:rPr>
        <w:t>兴东国际机场</w:t>
      </w:r>
      <w:r>
        <w:rPr>
          <w:rFonts w:hint="eastAsia" w:ascii="仿宋" w:hAnsi="仿宋" w:eastAsia="仿宋" w:cs="仿宋"/>
          <w:highlight w:val="none"/>
          <w:shd w:val="clear" w:color="auto" w:fill="FFFFFF"/>
          <w:lang w:val="en-US" w:eastAsia="zh-CN"/>
        </w:rPr>
        <w:t>综合安防管理平台升级（第二次）</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采购预算：人民币</w:t>
      </w:r>
      <w:r>
        <w:rPr>
          <w:rFonts w:hint="eastAsia" w:ascii="仿宋" w:hAnsi="仿宋" w:eastAsia="仿宋" w:cs="仿宋"/>
          <w:highlight w:val="none"/>
          <w:shd w:val="clear" w:color="auto" w:fill="FFFFFF"/>
          <w:lang w:val="en-US" w:eastAsia="zh-CN"/>
        </w:rPr>
        <w:t>叁拾陆万陆仟伍佰元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366500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r>
        <w:rPr>
          <w:rFonts w:hint="eastAsia" w:ascii="仿宋" w:hAnsi="仿宋" w:eastAsia="仿宋" w:cs="仿宋"/>
          <w:b w:val="0"/>
          <w:bCs w:val="0"/>
          <w:highlight w:val="none"/>
          <w:shd w:val="clear" w:color="auto" w:fill="FFFFFF"/>
          <w:lang w:eastAsia="zh-CN"/>
        </w:rPr>
        <w:t>磋商响应人</w:t>
      </w:r>
      <w:r>
        <w:rPr>
          <w:rFonts w:hint="eastAsia" w:ascii="仿宋" w:hAnsi="仿宋" w:eastAsia="仿宋" w:cs="仿宋"/>
          <w:b w:val="0"/>
          <w:bCs w:val="0"/>
          <w:highlight w:val="none"/>
          <w:shd w:val="clear" w:color="auto" w:fill="FFFFFF"/>
        </w:rPr>
        <w:t>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w:t>
      </w:r>
      <w:r>
        <w:rPr>
          <w:rFonts w:hint="eastAsia" w:ascii="仿宋" w:hAnsi="仿宋" w:eastAsia="仿宋" w:cs="仿宋"/>
          <w:b w:val="0"/>
          <w:bCs w:val="0"/>
          <w:highlight w:val="none"/>
          <w:shd w:val="clear" w:color="auto" w:fill="FFFFFF"/>
          <w:lang w:eastAsia="zh-CN"/>
        </w:rPr>
        <w:t>磋商响应人具有健全的财务会计制度（</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val="en-US" w:eastAsia="zh-CN"/>
        </w:rPr>
        <w:t>2023年</w:t>
      </w:r>
      <w:r>
        <w:rPr>
          <w:rFonts w:hint="eastAsia" w:ascii="仿宋" w:hAnsi="仿宋" w:eastAsia="仿宋" w:cs="仿宋"/>
          <w:b w:val="0"/>
          <w:bCs w:val="0"/>
          <w:highlight w:val="none"/>
          <w:shd w:val="clear" w:color="auto" w:fill="FFFFFF"/>
        </w:rPr>
        <w:t>财务</w:t>
      </w:r>
      <w:r>
        <w:rPr>
          <w:rFonts w:hint="eastAsia" w:ascii="仿宋" w:hAnsi="仿宋" w:eastAsia="仿宋" w:cs="仿宋"/>
          <w:b w:val="0"/>
          <w:bCs w:val="0"/>
          <w:highlight w:val="none"/>
          <w:shd w:val="clear" w:color="auto" w:fill="FFFFFF"/>
          <w:lang w:eastAsia="zh-CN"/>
        </w:rPr>
        <w:t>报表</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、商业信誉：磋商响应人具有良好的商业信誉，未被信用中国等信用媒体列入失信被执行人、企业经营异常名录、重大税收违法案件当事人名单、政府采购严重违法失信名单、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sz w:val="24"/>
          <w:szCs w:val="24"/>
          <w:highlight w:val="none"/>
          <w:shd w:val="clear" w:color="auto" w:fill="FFFFFF"/>
          <w:lang w:eastAsia="zh-CN"/>
        </w:rPr>
        <w:t>本项由磋商响应人提供证明材料</w:t>
      </w:r>
      <w:r>
        <w:rPr>
          <w:rFonts w:hint="eastAsia" w:ascii="仿宋" w:hAnsi="仿宋" w:eastAsia="仿宋" w:cs="仿宋"/>
          <w:sz w:val="24"/>
          <w:szCs w:val="24"/>
          <w:highlight w:val="none"/>
          <w:lang w:val="en-US" w:eastAsia="zh-CN"/>
        </w:rPr>
        <w:t>加盖公章</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4、履约能力：磋商响应人具有履行合同所必需的设备和专业技术能力（提供2021年1月1日起签订的</w:t>
      </w:r>
      <w:r>
        <w:rPr>
          <w:rFonts w:hint="eastAsia" w:ascii="仿宋" w:hAnsi="仿宋" w:eastAsia="仿宋" w:cs="仿宋"/>
          <w:sz w:val="24"/>
          <w:szCs w:val="24"/>
          <w:highlight w:val="none"/>
          <w:lang w:val="en-US" w:eastAsia="zh-CN"/>
        </w:rPr>
        <w:t>国产监控系统销售或安防管理平台国产化升级业绩案例（提供合同及发票复印件加盖公章）</w:t>
      </w:r>
      <w:r>
        <w:rPr>
          <w:rFonts w:hint="eastAsia" w:ascii="仿宋" w:hAnsi="仿宋" w:eastAsia="仿宋" w:cs="仿宋"/>
          <w:b w:val="0"/>
          <w:bCs w:val="0"/>
          <w:highlight w:val="none"/>
          <w:shd w:val="clear" w:color="auto" w:fill="FFFFFF"/>
          <w:lang w:val="en-US"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有依法缴纳税收和社会保障资金的良好记录（提供开标前三个月的缴纳税收和社会保障资金的记录材料，加盖公章）；</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上自行下载。</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11"/>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rPr>
        <w:t>202</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12</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eastAsia="zh-CN"/>
        </w:rPr>
        <w:t>上午</w:t>
      </w:r>
      <w:r>
        <w:rPr>
          <w:rFonts w:hint="eastAsia" w:ascii="仿宋" w:hAnsi="仿宋" w:eastAsia="仿宋" w:cs="仿宋"/>
          <w:highlight w:val="none"/>
          <w:shd w:val="clear" w:color="auto" w:fill="FFFFFF"/>
          <w:lang w:val="en-US" w:eastAsia="zh-CN"/>
        </w:rPr>
        <w:t>10:00</w:t>
      </w:r>
      <w:r>
        <w:rPr>
          <w:rFonts w:hint="eastAsia" w:ascii="仿宋" w:hAnsi="仿宋" w:eastAsia="仿宋" w:cs="仿宋"/>
          <w:highlight w:val="none"/>
          <w:shd w:val="clear" w:color="auto" w:fill="FFFFFF"/>
          <w:lang w:val="zh-CN"/>
        </w:rPr>
        <w:t>（开标时间同上）；</w:t>
      </w:r>
    </w:p>
    <w:p>
      <w:pPr>
        <w:pStyle w:val="11"/>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文件递交地点：南通兴东国际机场办公楼</w:t>
      </w:r>
      <w:r>
        <w:rPr>
          <w:rFonts w:hint="eastAsia" w:ascii="仿宋" w:hAnsi="仿宋" w:eastAsia="仿宋" w:cs="仿宋"/>
          <w:highlight w:val="none"/>
          <w:shd w:val="clear" w:color="auto" w:fill="FFFFFF"/>
        </w:rPr>
        <w:t>208</w:t>
      </w:r>
      <w:r>
        <w:rPr>
          <w:rFonts w:hint="eastAsia" w:ascii="仿宋" w:hAnsi="仿宋" w:eastAsia="仿宋" w:cs="仿宋"/>
          <w:highlight w:val="none"/>
          <w:shd w:val="clear" w:color="auto" w:fill="FFFFFF"/>
          <w:lang w:val="zh-CN"/>
        </w:rPr>
        <w:t>室（开标地点同上）；</w:t>
      </w:r>
    </w:p>
    <w:p>
      <w:pPr>
        <w:pStyle w:val="11"/>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3、文件递交方式：</w:t>
      </w:r>
      <w:r>
        <w:rPr>
          <w:rFonts w:hint="eastAsia" w:ascii="仿宋" w:hAnsi="仿宋" w:eastAsia="仿宋" w:cs="仿宋"/>
          <w:highlight w:val="none"/>
          <w:shd w:val="clear" w:color="auto" w:fill="FFFFFF"/>
          <w:lang w:val="en-US" w:eastAsia="zh-CN"/>
        </w:rPr>
        <w:t>【邮寄】递交纸质材料（不见面开标）</w:t>
      </w:r>
      <w:r>
        <w:rPr>
          <w:rFonts w:hint="eastAsia" w:ascii="仿宋" w:hAnsi="仿宋" w:eastAsia="仿宋" w:cs="仿宋"/>
          <w:highlight w:val="none"/>
          <w:shd w:val="clear" w:color="auto" w:fill="FFFFFF"/>
        </w:rPr>
        <w:t>；</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4、逾期送达的或者未送达指定地点的响应文件，采购人不予受理。</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bookmarkStart w:id="1" w:name="_GoBack"/>
      <w:bookmarkEnd w:id="1"/>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w:t>
      </w:r>
      <w:r>
        <w:rPr>
          <w:rFonts w:hint="eastAsia" w:ascii="仿宋" w:hAnsi="仿宋" w:eastAsia="仿宋" w:cs="仿宋"/>
          <w:highlight w:val="none"/>
          <w:shd w:val="clear" w:color="auto" w:fill="FFFFFF"/>
          <w:lang w:val="en-US" w:eastAsia="zh-CN"/>
        </w:rPr>
        <w:t>南通兴东国际机场官网</w:t>
      </w:r>
      <w:r>
        <w:rPr>
          <w:rFonts w:hint="eastAsia" w:ascii="仿宋" w:hAnsi="仿宋" w:eastAsia="仿宋" w:cs="仿宋"/>
          <w:highlight w:val="none"/>
          <w:shd w:val="clear" w:color="auto" w:fill="FFFFFF"/>
          <w:lang w:val="zh-CN"/>
        </w:rPr>
        <w:t>上发布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黑体" w:hAnsi="黑体" w:eastAsia="黑体" w:cs="黑体"/>
          <w:b/>
          <w:bCs/>
          <w:highlight w:val="none"/>
          <w:shd w:val="clear" w:color="auto" w:fill="FFFFFF"/>
        </w:rPr>
      </w:pPr>
      <w:r>
        <w:rPr>
          <w:rFonts w:hint="eastAsia" w:ascii="仿宋" w:hAnsi="仿宋" w:eastAsia="仿宋" w:cs="仿宋"/>
          <w:highlight w:val="none"/>
          <w:shd w:val="clear" w:color="auto" w:fill="FFFFFF"/>
          <w:lang w:val="zh-CN"/>
        </w:rPr>
        <w:t> </w:t>
      </w:r>
      <w:r>
        <w:rPr>
          <w:rFonts w:hint="eastAsia" w:ascii="黑体" w:hAnsi="黑体" w:eastAsia="黑体" w:cs="黑体"/>
          <w:b/>
          <w:bCs/>
          <w:highlight w:val="none"/>
          <w:shd w:val="clear" w:color="auto" w:fill="FFFFFF"/>
        </w:rPr>
        <w:t>六、联系方式</w:t>
      </w:r>
      <w:bookmarkEnd w:id="0"/>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11"/>
        <w:widowControl/>
        <w:shd w:val="clear" w:color="auto" w:fill="FFFFFF"/>
        <w:spacing w:beforeAutospacing="0" w:afterAutospacing="0" w:line="360" w:lineRule="auto"/>
        <w:ind w:firstLine="1440" w:firstLineChars="6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联系人：</w:t>
      </w:r>
    </w:p>
    <w:p>
      <w:pPr>
        <w:pStyle w:val="11"/>
        <w:widowControl/>
        <w:shd w:val="clear" w:color="auto" w:fill="FFFFFF"/>
        <w:spacing w:beforeAutospacing="0" w:afterAutospacing="0" w:line="360" w:lineRule="auto"/>
        <w:ind w:firstLine="1440" w:firstLineChars="6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en-US" w:eastAsia="zh-CN"/>
        </w:rPr>
        <w:t>杨蓓娟</w:t>
      </w:r>
      <w:r>
        <w:rPr>
          <w:rFonts w:hint="eastAsia" w:ascii="仿宋" w:hAnsi="仿宋" w:eastAsia="仿宋" w:cs="仿宋"/>
          <w:highlight w:val="none"/>
          <w:shd w:val="clear" w:color="auto" w:fill="FFFFFF"/>
          <w:lang w:val="zh-CN"/>
        </w:rPr>
        <w:t>电话：0513-86860217-82107</w:t>
      </w:r>
    </w:p>
    <w:p>
      <w:pPr>
        <w:pStyle w:val="11"/>
        <w:widowControl/>
        <w:shd w:val="clear" w:color="auto" w:fill="FFFFFF"/>
        <w:spacing w:beforeAutospacing="0" w:afterAutospacing="0" w:line="360" w:lineRule="auto"/>
        <w:ind w:firstLine="1440" w:firstLineChars="600"/>
        <w:jc w:val="both"/>
        <w:rPr>
          <w:rFonts w:hint="eastAsia" w:ascii="仿宋" w:hAnsi="仿宋" w:eastAsia="仿宋" w:cs="仿宋"/>
          <w:highlight w:val="none"/>
          <w:lang w:eastAsia="zh-CN"/>
        </w:rPr>
      </w:pPr>
      <w:r>
        <w:rPr>
          <w:rFonts w:hint="eastAsia" w:ascii="仿宋" w:hAnsi="仿宋" w:eastAsia="仿宋" w:cs="仿宋"/>
          <w:highlight w:val="none"/>
        </w:rPr>
        <w:t xml:space="preserve">技术咨询 </w:t>
      </w:r>
      <w:r>
        <w:rPr>
          <w:rFonts w:hint="eastAsia" w:ascii="仿宋" w:hAnsi="仿宋" w:eastAsia="仿宋" w:cs="仿宋"/>
          <w:highlight w:val="none"/>
          <w:lang w:val="en-US" w:eastAsia="zh-CN"/>
        </w:rPr>
        <w:t>周  斌</w:t>
      </w:r>
      <w:r>
        <w:rPr>
          <w:rFonts w:hint="eastAsia" w:ascii="仿宋" w:hAnsi="仿宋" w:eastAsia="仿宋" w:cs="仿宋"/>
          <w:highlight w:val="none"/>
        </w:rPr>
        <w:t xml:space="preserve"> 电话：13921610010</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采购监督 陈家辉 电话：0513-86</w:t>
      </w:r>
      <w:r>
        <w:rPr>
          <w:rFonts w:hint="eastAsia" w:ascii="仿宋" w:hAnsi="仿宋" w:eastAsia="仿宋"/>
          <w:sz w:val="24"/>
          <w:highlight w:val="none"/>
          <w:lang w:val="en-US" w:eastAsia="zh-CN"/>
        </w:rPr>
        <w:t>860032</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邮</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箱：</w:t>
      </w:r>
      <w:r>
        <w:rPr>
          <w:rFonts w:hint="eastAsia" w:ascii="仿宋" w:hAnsi="仿宋" w:eastAsia="仿宋" w:cs="仿宋"/>
          <w:color w:val="auto"/>
          <w:highlight w:val="none"/>
          <w:u w:val="none"/>
          <w:shd w:val="clear" w:color="auto" w:fill="FFFFFF"/>
          <w:lang w:val="zh-CN"/>
        </w:rPr>
        <w:t>184154718@qq.com</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431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响应供应商应仔细阅读和检查磋商文件的全部内容。如发现缺页或附件不全，应及时向采购人提出，以便补齐。如有疑问，应在开标前以质疑函要求采购人对磋商文件予以澄清。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日，</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3、磋商文件的修改和澄清将在南通兴东国际机场官网公布，补充文件将作为磋商文件的组成部分，并对响应供应商具有约束力。</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磋商文件第四章响应文件格式有提供格式的应采用提供的格式编写，未提供格式的响应供应商可自行确定格式。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资格审查包（一正一副）</w:t>
      </w:r>
    </w:p>
    <w:p>
      <w:pPr>
        <w:pStyle w:val="11"/>
        <w:widowControl/>
        <w:shd w:val="clear" w:color="auto" w:fill="FFFFFF"/>
        <w:spacing w:beforeAutospacing="0" w:afterAutospacing="0" w:line="360" w:lineRule="auto"/>
        <w:ind w:left="719" w:leftChars="228" w:hanging="240" w:hangingChars="100"/>
        <w:jc w:val="both"/>
        <w:rPr>
          <w:rFonts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zh-CN"/>
        </w:rPr>
        <w:t>非法人代表投标：提供法定代表人授权委托书和磋商响应人代表身份证</w:t>
      </w:r>
      <w:r>
        <w:rPr>
          <w:rFonts w:hint="eastAsia" w:ascii="仿宋" w:hAnsi="仿宋" w:eastAsia="仿宋" w:cs="仿宋"/>
          <w:highlight w:val="none"/>
          <w:shd w:val="clear" w:color="auto" w:fill="FFFFFF"/>
        </w:rPr>
        <w:t>复印</w:t>
      </w:r>
      <w:r>
        <w:rPr>
          <w:rFonts w:hint="eastAsia" w:ascii="仿宋" w:hAnsi="仿宋" w:eastAsia="仿宋" w:cs="仿宋"/>
          <w:highlight w:val="none"/>
          <w:shd w:val="clear" w:color="auto" w:fill="FFFFFF"/>
          <w:lang w:val="zh-CN"/>
        </w:rPr>
        <w:t>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）磋商响应人承诺书；</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）响应供应商为响应供应商代表缴纳社保的证明，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。法定代表人参加投标的，不用提供其缴纳社保的证明。</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）其他磋商文件要求和响应供应商自认为应该提供的材料。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11"/>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最高含税限价为：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叁拾陆万陆仟伍佰元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366500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zh-CN"/>
        </w:rPr>
        <w:t>磋商响应人对本次</w:t>
      </w:r>
      <w:r>
        <w:rPr>
          <w:rFonts w:hint="eastAsia" w:ascii="仿宋" w:hAnsi="仿宋" w:eastAsia="仿宋" w:cs="仿宋"/>
          <w:highlight w:val="none"/>
          <w:shd w:val="clear" w:color="auto" w:fill="FFFFFF"/>
          <w:lang w:val="en-US" w:eastAsia="zh-CN"/>
        </w:rPr>
        <w:t>综合安防管理平台升级</w:t>
      </w:r>
      <w:r>
        <w:rPr>
          <w:rFonts w:hint="eastAsia" w:ascii="仿宋" w:hAnsi="仿宋" w:eastAsia="仿宋" w:cs="仿宋"/>
          <w:highlight w:val="none"/>
          <w:shd w:val="clear" w:color="auto" w:fill="FFFFFF"/>
          <w:lang w:val="zh-CN"/>
        </w:rPr>
        <w:t>采购进行报价，报价包含与项目相关的所有费用，包括但不限于材料、包装物、运输、辅材、税款、检测、调试等。</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评委对所有响应文件的密封、标记等情况进行核查，记录在案，并签字确认；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评标委员对响应供应商资格、响应性进行审查，对合格响应供应商的响应文件进行技术评分；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4、评标委员会集中与响应供应商分别进行磋商，磋商内容以电话形式同时通知所有参加谈判的响应供应商，响应供应商就磋商结果确认；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按照宣布的开标顺序当众开标，公布最终有效响应供应商名称、标段名称、投标报价及其他内容，并记录在案；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6、最终有效响应供应商进行电话二次报价；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公布采购结果。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若响应供应商现场未提出异议，则认为响应供应商已确认宣读的内容。</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以综合评分法评标。</w:t>
      </w:r>
    </w:p>
    <w:tbl>
      <w:tblPr>
        <w:tblStyle w:val="12"/>
        <w:tblW w:w="95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615"/>
        <w:gridCol w:w="2679"/>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条款内容</w:t>
            </w:r>
          </w:p>
        </w:tc>
        <w:tc>
          <w:tcPr>
            <w:tcW w:w="7027" w:type="dxa"/>
            <w:gridSpan w:val="3"/>
            <w:noWrap w:val="0"/>
            <w:vAlign w:val="top"/>
          </w:tcPr>
          <w:p>
            <w:pPr>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restart"/>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分值构成(总分100 分)</w:t>
            </w: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kern w:val="0"/>
                <w:position w:val="-2"/>
                <w:sz w:val="24"/>
                <w:szCs w:val="24"/>
                <w:highlight w:val="none"/>
              </w:rPr>
              <w:t>评分因素</w:t>
            </w:r>
          </w:p>
        </w:tc>
        <w:tc>
          <w:tcPr>
            <w:tcW w:w="3733" w:type="dxa"/>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投标价格</w:t>
            </w:r>
          </w:p>
        </w:tc>
        <w:tc>
          <w:tcPr>
            <w:tcW w:w="3733" w:type="dxa"/>
            <w:noWrap w:val="0"/>
            <w:vAlign w:val="top"/>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vMerge w:val="continue"/>
            <w:noWrap w:val="0"/>
            <w:vAlign w:val="center"/>
          </w:tcPr>
          <w:p>
            <w:pPr>
              <w:jc w:val="center"/>
              <w:rPr>
                <w:rFonts w:hint="eastAsia" w:ascii="仿宋" w:hAnsi="仿宋" w:eastAsia="仿宋" w:cs="仿宋"/>
                <w:sz w:val="24"/>
                <w:szCs w:val="24"/>
                <w:highlight w:val="none"/>
              </w:rPr>
            </w:pPr>
          </w:p>
        </w:tc>
        <w:tc>
          <w:tcPr>
            <w:tcW w:w="3294" w:type="dxa"/>
            <w:gridSpan w:val="2"/>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商务技术</w:t>
            </w:r>
            <w:r>
              <w:rPr>
                <w:rFonts w:hint="eastAsia" w:ascii="仿宋" w:hAnsi="仿宋" w:eastAsia="仿宋" w:cs="仿宋"/>
                <w:sz w:val="24"/>
                <w:szCs w:val="24"/>
                <w:highlight w:val="none"/>
              </w:rPr>
              <w:t>响应</w:t>
            </w:r>
          </w:p>
        </w:tc>
        <w:tc>
          <w:tcPr>
            <w:tcW w:w="3733" w:type="dxa"/>
            <w:noWrap w:val="0"/>
            <w:vAlign w:val="top"/>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评标基准价计算方法</w:t>
            </w:r>
          </w:p>
        </w:tc>
        <w:tc>
          <w:tcPr>
            <w:tcW w:w="7027" w:type="dxa"/>
            <w:gridSpan w:val="3"/>
            <w:noWrap w:val="0"/>
            <w:vAlign w:val="top"/>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评标价的计算步骤：</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（1）评标价的确定：评标价=投标报价</w:t>
            </w:r>
            <w:r>
              <w:rPr>
                <w:rFonts w:hint="eastAsia" w:ascii="仿宋" w:hAnsi="仿宋" w:eastAsia="仿宋" w:cs="仿宋"/>
                <w:sz w:val="24"/>
                <w:szCs w:val="24"/>
                <w:highlight w:val="none"/>
                <w:lang w:eastAsia="zh-CN"/>
              </w:rPr>
              <w:t>（不含税）</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（2）有效评标价的确定所有通过评审的投标文件的评标价</w:t>
            </w:r>
            <w:r>
              <w:rPr>
                <w:rFonts w:hint="eastAsia" w:ascii="仿宋" w:hAnsi="仿宋" w:eastAsia="仿宋" w:cs="仿宋"/>
                <w:sz w:val="24"/>
                <w:szCs w:val="24"/>
                <w:highlight w:val="none"/>
                <w:lang w:eastAsia="zh-CN"/>
              </w:rPr>
              <w:t>（不含税）</w:t>
            </w:r>
            <w:r>
              <w:rPr>
                <w:rFonts w:hint="eastAsia" w:ascii="仿宋" w:hAnsi="仿宋" w:eastAsia="仿宋" w:cs="仿宋"/>
                <w:sz w:val="24"/>
                <w:szCs w:val="24"/>
                <w:highlight w:val="none"/>
              </w:rPr>
              <w:t>为有效评标价</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评标基准</w:t>
            </w:r>
            <w:r>
              <w:rPr>
                <w:rFonts w:hint="eastAsia" w:ascii="仿宋" w:hAnsi="仿宋" w:eastAsia="仿宋" w:cs="仿宋"/>
                <w:sz w:val="24"/>
                <w:szCs w:val="24"/>
                <w:highlight w:val="none"/>
              </w:rPr>
              <w:t>价的计算：所有有效评标价</w:t>
            </w:r>
            <w:r>
              <w:rPr>
                <w:rFonts w:hint="eastAsia" w:ascii="仿宋" w:hAnsi="仿宋" w:eastAsia="仿宋" w:cs="仿宋"/>
                <w:sz w:val="24"/>
                <w:szCs w:val="24"/>
                <w:highlight w:val="none"/>
                <w:lang w:eastAsia="zh-CN"/>
              </w:rPr>
              <w:t>最低报价</w:t>
            </w:r>
            <w:r>
              <w:rPr>
                <w:rFonts w:hint="eastAsia" w:ascii="仿宋" w:hAnsi="仿宋" w:eastAsia="仿宋" w:cs="仿宋"/>
                <w:sz w:val="24"/>
                <w:szCs w:val="24"/>
                <w:highlight w:val="none"/>
              </w:rPr>
              <w:t>即为有效评标</w:t>
            </w:r>
            <w:r>
              <w:rPr>
                <w:rFonts w:hint="eastAsia" w:ascii="仿宋" w:hAnsi="仿宋" w:eastAsia="仿宋" w:cs="仿宋"/>
                <w:sz w:val="24"/>
                <w:szCs w:val="24"/>
                <w:highlight w:val="none"/>
                <w:lang w:eastAsia="zh-CN"/>
              </w:rPr>
              <w:t>基准</w:t>
            </w:r>
            <w:r>
              <w:rPr>
                <w:rFonts w:hint="eastAsia" w:ascii="仿宋" w:hAnsi="仿宋" w:eastAsia="仿宋" w:cs="仿宋"/>
                <w:sz w:val="24"/>
                <w:szCs w:val="24"/>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488" w:type="dxa"/>
            <w:noWrap w:val="0"/>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投标报</w:t>
            </w:r>
            <w:r>
              <w:rPr>
                <w:rFonts w:hint="eastAsia" w:ascii="仿宋" w:hAnsi="仿宋" w:eastAsia="仿宋" w:cs="仿宋"/>
                <w:spacing w:val="-1"/>
                <w:kern w:val="0"/>
                <w:sz w:val="24"/>
                <w:szCs w:val="24"/>
                <w:highlight w:val="none"/>
              </w:rPr>
              <w:t>价偏</w:t>
            </w:r>
            <w:r>
              <w:rPr>
                <w:rFonts w:hint="eastAsia" w:ascii="仿宋" w:hAnsi="仿宋" w:eastAsia="仿宋" w:cs="仿宋"/>
                <w:kern w:val="0"/>
                <w:sz w:val="24"/>
                <w:szCs w:val="24"/>
                <w:highlight w:val="none"/>
              </w:rPr>
              <w:t>差率计算</w:t>
            </w:r>
            <w:r>
              <w:rPr>
                <w:rFonts w:hint="eastAsia" w:ascii="仿宋" w:hAnsi="仿宋" w:eastAsia="仿宋" w:cs="仿宋"/>
                <w:kern w:val="0"/>
                <w:sz w:val="24"/>
                <w:szCs w:val="24"/>
                <w:highlight w:val="none"/>
                <w:lang w:eastAsia="zh-CN"/>
              </w:rPr>
              <w:t>方法</w:t>
            </w:r>
          </w:p>
        </w:tc>
        <w:tc>
          <w:tcPr>
            <w:tcW w:w="7027" w:type="dxa"/>
            <w:gridSpan w:val="3"/>
            <w:noWrap w:val="0"/>
            <w:vAlign w:val="center"/>
          </w:tcPr>
          <w:p>
            <w:pPr>
              <w:numPr>
                <w:ilvl w:val="0"/>
                <w:numId w:val="0"/>
              </w:num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最低价：</w:t>
            </w:r>
            <w:r>
              <w:rPr>
                <w:rFonts w:hint="eastAsia" w:ascii="仿宋" w:hAnsi="仿宋" w:eastAsia="仿宋" w:cs="仿宋"/>
                <w:sz w:val="24"/>
                <w:szCs w:val="24"/>
                <w:highlight w:val="none"/>
              </w:rPr>
              <w:t>偏差率=100%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磋商响应人评标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15" w:type="dxa"/>
            <w:gridSpan w:val="4"/>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评分因素</w:t>
            </w:r>
          </w:p>
        </w:tc>
        <w:tc>
          <w:tcPr>
            <w:tcW w:w="61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412"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评标价</w:t>
            </w:r>
          </w:p>
        </w:tc>
        <w:tc>
          <w:tcPr>
            <w:tcW w:w="615" w:type="dxa"/>
            <w:noWrap w:val="0"/>
            <w:vAlign w:val="center"/>
          </w:tcPr>
          <w:p>
            <w:pPr>
              <w:spacing w:line="240" w:lineRule="atLeas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分</w:t>
            </w:r>
          </w:p>
        </w:tc>
        <w:tc>
          <w:tcPr>
            <w:tcW w:w="6412" w:type="dxa"/>
            <w:gridSpan w:val="2"/>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最低价：以评标基准价为基准分</w:t>
            </w:r>
            <w:r>
              <w:rPr>
                <w:rFonts w:hint="eastAsia" w:ascii="仿宋" w:hAnsi="仿宋" w:eastAsia="仿宋" w:cs="仿宋"/>
                <w:sz w:val="24"/>
                <w:szCs w:val="24"/>
                <w:highlight w:val="none"/>
                <w:lang w:val="en-US" w:eastAsia="zh-CN"/>
              </w:rPr>
              <w:t>80分，投标单位的报价得分</w:t>
            </w:r>
            <w:r>
              <w:rPr>
                <w:rFonts w:hint="eastAsia" w:ascii="仿宋" w:hAnsi="仿宋" w:eastAsia="仿宋" w:cs="仿宋"/>
                <w:sz w:val="24"/>
                <w:szCs w:val="24"/>
                <w:highlight w:val="none"/>
              </w:rPr>
              <w:t>（报价得分值保留二位小数，最小计分单位为0.01分）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评标基准价/</w:t>
            </w:r>
            <w:r>
              <w:rPr>
                <w:rFonts w:hint="eastAsia" w:ascii="仿宋" w:hAnsi="仿宋" w:eastAsia="仿宋" w:cs="仿宋"/>
                <w:sz w:val="24"/>
                <w:szCs w:val="24"/>
                <w:highlight w:val="none"/>
                <w:lang w:eastAsia="zh-CN"/>
              </w:rPr>
              <w:t>磋商响应人评标</w:t>
            </w:r>
            <w:r>
              <w:rPr>
                <w:rFonts w:hint="eastAsia" w:ascii="仿宋" w:hAnsi="仿宋" w:eastAsia="仿宋" w:cs="仿宋"/>
                <w:sz w:val="24"/>
                <w:szCs w:val="24"/>
                <w:highlight w:val="none"/>
              </w:rPr>
              <w:t>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80</w:t>
            </w:r>
            <w:r>
              <w:rPr>
                <w:rFonts w:hint="eastAsia" w:ascii="仿宋" w:hAnsi="仿宋" w:eastAsia="仿宋" w:cs="仿宋"/>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8" w:type="dxa"/>
            <w:noWrap w:val="0"/>
            <w:vAlign w:val="center"/>
          </w:tcPr>
          <w:p>
            <w:pPr>
              <w:spacing w:line="240" w:lineRule="atLeast"/>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技术要求响应</w:t>
            </w:r>
          </w:p>
        </w:tc>
        <w:tc>
          <w:tcPr>
            <w:tcW w:w="615" w:type="dxa"/>
            <w:noWrap w:val="0"/>
            <w:vAlign w:val="center"/>
          </w:tcPr>
          <w:p>
            <w:pPr>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12</w:t>
            </w:r>
          </w:p>
        </w:tc>
        <w:tc>
          <w:tcPr>
            <w:tcW w:w="6412"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1、磋商响应人对招标文件第三章先项目需求，第二节技术要求（采购清单及参数要求、执行标准、安全要求）未标注“</w:t>
            </w:r>
            <w:r>
              <w:rPr>
                <w:rFonts w:hint="eastAsia" w:ascii="仿宋" w:hAnsi="仿宋" w:eastAsia="仿宋" w:cs="仿宋"/>
                <w:b w:val="0"/>
                <w:bCs w:val="0"/>
                <w:sz w:val="24"/>
                <w:szCs w:val="24"/>
                <w:highlight w:val="none"/>
                <w:shd w:val="clear" w:color="auto" w:fill="FFFFFF"/>
                <w:lang w:val="en-US" w:eastAsia="zh-CN"/>
              </w:rPr>
              <w:t>★</w:t>
            </w:r>
            <w:r>
              <w:rPr>
                <w:rFonts w:hint="eastAsia" w:ascii="仿宋" w:hAnsi="仿宋" w:eastAsia="仿宋" w:cs="仿宋"/>
                <w:sz w:val="24"/>
                <w:szCs w:val="24"/>
                <w:highlight w:val="none"/>
                <w:lang w:val="en-US" w:eastAsia="zh-CN"/>
              </w:rPr>
              <w:t>”条款进行逐条响应（标注“</w:t>
            </w:r>
            <w:r>
              <w:rPr>
                <w:rFonts w:hint="eastAsia" w:ascii="仿宋" w:hAnsi="仿宋" w:eastAsia="仿宋" w:cs="仿宋"/>
                <w:b w:val="0"/>
                <w:bCs w:val="0"/>
                <w:sz w:val="24"/>
                <w:szCs w:val="24"/>
                <w:highlight w:val="none"/>
                <w:shd w:val="clear" w:color="auto" w:fill="FFFFFF"/>
                <w:lang w:val="en-US" w:eastAsia="zh-CN"/>
              </w:rPr>
              <w:t>★</w:t>
            </w:r>
            <w:r>
              <w:rPr>
                <w:rFonts w:hint="eastAsia" w:ascii="仿宋" w:hAnsi="仿宋" w:eastAsia="仿宋" w:cs="仿宋"/>
                <w:sz w:val="24"/>
                <w:szCs w:val="24"/>
                <w:highlight w:val="none"/>
                <w:lang w:val="en-US" w:eastAsia="zh-CN"/>
              </w:rPr>
              <w:t>”条款不接受负偏离），每一项负偏离扣1分</w:t>
            </w:r>
            <w:r>
              <w:rPr>
                <w:rFonts w:hint="eastAsia" w:eastAsia="仿宋"/>
                <w:sz w:val="24"/>
                <w:szCs w:val="24"/>
                <w:highlight w:val="none"/>
                <w:lang w:eastAsia="zh-CN"/>
              </w:rPr>
              <w:t>（</w:t>
            </w:r>
            <w:r>
              <w:rPr>
                <w:rFonts w:hint="eastAsia" w:eastAsia="仿宋"/>
                <w:sz w:val="24"/>
                <w:szCs w:val="24"/>
                <w:highlight w:val="none"/>
                <w:lang w:val="en-US" w:eastAsia="zh-CN"/>
              </w:rPr>
              <w:t>提供对应的技术证明文件</w:t>
            </w:r>
            <w:r>
              <w:rPr>
                <w:rFonts w:hint="eastAsia" w:eastAsia="仿宋"/>
                <w:sz w:val="24"/>
                <w:szCs w:val="24"/>
                <w:highlight w:val="none"/>
                <w:lang w:eastAsia="zh-CN"/>
              </w:rPr>
              <w:t>）</w:t>
            </w:r>
            <w:r>
              <w:rPr>
                <w:rFonts w:hint="eastAsia" w:ascii="仿宋" w:hAnsi="仿宋" w:eastAsia="仿宋" w:cs="仿宋"/>
                <w:sz w:val="24"/>
                <w:szCs w:val="24"/>
                <w:highlight w:val="none"/>
                <w:lang w:val="en-US" w:eastAsia="zh-CN"/>
              </w:rPr>
              <w:t>，由评委进行酌情打分，扣完为止。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磋商响应人业绩</w:t>
            </w:r>
          </w:p>
        </w:tc>
        <w:tc>
          <w:tcPr>
            <w:tcW w:w="61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w:t>
            </w:r>
          </w:p>
        </w:tc>
        <w:tc>
          <w:tcPr>
            <w:tcW w:w="6412" w:type="dxa"/>
            <w:gridSpan w:val="2"/>
            <w:noWrap w:val="0"/>
            <w:vAlign w:val="top"/>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磋商响应人在2021年1月1日至今，有合同额不低于50万元的国产监控系统销售或安防管理平台国产化升级业绩案例（提供合同及发票复印件加盖公章），提供一个得1分，最高1分；有合同额不低于50万元的，提供一个得2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8" w:type="dxa"/>
            <w:noWrap w:val="0"/>
            <w:vAlign w:val="center"/>
          </w:tcPr>
          <w:p>
            <w:pPr>
              <w:spacing w:line="240" w:lineRule="atLeas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增值服务</w:t>
            </w:r>
          </w:p>
        </w:tc>
        <w:tc>
          <w:tcPr>
            <w:tcW w:w="615" w:type="dxa"/>
            <w:noWrap w:val="0"/>
            <w:vAlign w:val="center"/>
          </w:tcPr>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w:t>
            </w:r>
          </w:p>
        </w:tc>
        <w:tc>
          <w:tcPr>
            <w:tcW w:w="6412" w:type="dxa"/>
            <w:gridSpan w:val="2"/>
            <w:noWrap w:val="0"/>
            <w:vAlign w:val="top"/>
          </w:tcPr>
          <w:p>
            <w:pPr>
              <w:pStyle w:val="2"/>
              <w:numPr>
                <w:ilvl w:val="0"/>
                <w:numId w:val="0"/>
              </w:numPr>
              <w:rPr>
                <w:rFonts w:hint="default"/>
                <w:highlight w:val="none"/>
                <w:lang w:val="en-US" w:eastAsia="zh-CN"/>
              </w:rPr>
            </w:pPr>
            <w:r>
              <w:rPr>
                <w:rFonts w:hint="eastAsia" w:ascii="仿宋" w:hAnsi="仿宋" w:eastAsia="仿宋" w:cs="仿宋"/>
                <w:sz w:val="24"/>
                <w:szCs w:val="24"/>
                <w:highlight w:val="none"/>
                <w:lang w:val="en-US" w:eastAsia="zh-CN"/>
              </w:rPr>
              <w:t>1、售后质保时间不低于3年，每延长一年得2分，满分6分。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88"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7027" w:type="dxa"/>
            <w:gridSpan w:val="3"/>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1、技术响应部分最小计分单位为0.1分。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2、评标委员会成员评审计分工作实行实名制。将所有评标委员会成员评分的算术平均值作为</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rPr>
              <w:t>的综合得分，评分分值计算保留小数点后两位，小数点后第三位“四舍五入”；评标委员会按每个</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rPr>
              <w:t>的综合得分从高到低进行排序，并据此推荐中标候选人。</w:t>
            </w:r>
          </w:p>
        </w:tc>
      </w:tr>
    </w:tbl>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zh-CN" w:eastAsia="zh-CN"/>
        </w:rPr>
      </w:pP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（1）评标委员会提出的书面报告，按得分由高到低顺序推荐中标候选人，采购人根据得分第一的确定为中标人。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磋商文件规定应当提交履约担保而在规定期限未能提交的，采购人将依法确定得分第二的中标候选人为中标人，依此类推，当所有中标候选人因上述原因不能签订合同的，采购人将依法重新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在南通兴东机场官网上公布采购结果</w:t>
      </w:r>
      <w:r>
        <w:rPr>
          <w:rFonts w:hint="eastAsia" w:ascii="仿宋" w:hAnsi="仿宋" w:eastAsia="仿宋" w:cs="仿宋"/>
          <w:highlight w:val="none"/>
          <w:shd w:val="clear" w:color="auto" w:fill="FFFFFF"/>
          <w:lang w:val="zh-CN" w:eastAsia="zh-CN"/>
        </w:rPr>
        <w:t>，公示期为3个工作日。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在签订合同前，中标人应向采购人提交履约金，中标人不能提交履约担保的，视为放弃中标。给采购人造成损失的，中标人还应当予以赔偿。履约金在合同履行完成后无息退还。</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中标人应当自中标通知书发出之日起30天内，根据磋商文件和中标人的响应文件与采购人订立书面合同。中标人无正当理由拒签合同的，采购人取消其中标资格。给采购人造成的损失，中标人还应当予以赔偿。</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）响应文件未按磋商文件要求签署、盖章的；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）不具备磋商文件中规定的资格要求的；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）报价超过磋商文件中规定的预算金额或者最高限价的；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）不符合磋商文件中规定的其他实质性要求和条件的、</w:t>
      </w:r>
      <w:r>
        <w:rPr>
          <w:rFonts w:hint="eastAsia" w:ascii="仿宋" w:hAnsi="仿宋" w:eastAsia="仿宋" w:cs="仿宋"/>
          <w:highlight w:val="none"/>
          <w:shd w:val="clear" w:color="auto" w:fill="FFFFFF"/>
          <w:lang w:val="en-US" w:eastAsia="zh-CN"/>
        </w:rPr>
        <w:t>加</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条款负偏离的</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）法律、法规及本磋商文件规定的属无效投标的情形。</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）评标委员会认定磋商文件存在歧义、重大缺陷导致评审工作无法进行。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）投标截止时间止，有效响应供应商少于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）符合国家、省、市采购磋商文件中规定情形，导致中标无效，并且应当重新招标的。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不再招标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）重新采购后有效磋商响应人仍少于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有效磋商响应人只有2个的，符合竞争继续进行；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有效磋商响应人只有1个的，改为商务谈判。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南通机场集团对现有平台及后端服务器进行整体改造扩容，以满足国产化及现有的业务需求</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rPr>
        <w:t>本次项目需增加4台国产化中心管理服务节点，同时，对现有综合监控平台进行升级扩容。</w:t>
      </w:r>
    </w:p>
    <w:p>
      <w:pPr>
        <w:pStyle w:val="11"/>
        <w:pageBreakBefore w:val="0"/>
        <w:widowControl/>
        <w:numPr>
          <w:ilvl w:val="0"/>
          <w:numId w:val="1"/>
        </w:numPr>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left"/>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技术要求</w:t>
      </w:r>
    </w:p>
    <w:p>
      <w:pPr>
        <w:pStyle w:val="11"/>
        <w:widowControl/>
        <w:shd w:val="clear" w:color="auto" w:fill="FFFFFF"/>
        <w:spacing w:beforeAutospacing="0" w:afterAutospacing="0" w:line="360" w:lineRule="auto"/>
        <w:ind w:firstLine="482" w:firstLineChars="200"/>
        <w:jc w:val="both"/>
        <w:rPr>
          <w:rFonts w:hint="eastAsia" w:ascii="仿宋" w:hAnsi="仿宋" w:eastAsia="仿宋" w:cs="仿宋"/>
          <w:b/>
          <w:bCs/>
          <w:highlight w:val="none"/>
          <w:shd w:val="clear" w:color="auto" w:fill="FFFFFF"/>
        </w:rPr>
      </w:pPr>
    </w:p>
    <w:p>
      <w:pPr>
        <w:pStyle w:val="11"/>
        <w:widowControl/>
        <w:shd w:val="clear" w:color="auto" w:fill="FFFFFF"/>
        <w:spacing w:beforeAutospacing="0" w:afterAutospacing="0" w:line="360" w:lineRule="auto"/>
        <w:ind w:firstLine="482" w:firstLineChars="200"/>
        <w:jc w:val="both"/>
        <w:rPr>
          <w:rFonts w:hint="default"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rPr>
        <w:t>1.</w:t>
      </w:r>
      <w:r>
        <w:rPr>
          <w:rFonts w:hint="eastAsia" w:ascii="仿宋" w:hAnsi="仿宋" w:eastAsia="仿宋" w:cs="仿宋"/>
          <w:b/>
          <w:bCs/>
          <w:highlight w:val="none"/>
          <w:shd w:val="clear" w:color="auto" w:fill="FFFFFF"/>
          <w:lang w:val="en-US" w:eastAsia="zh-CN"/>
        </w:rPr>
        <w:t>采购清单及参数要求</w:t>
      </w:r>
    </w:p>
    <w:p>
      <w:pPr>
        <w:pStyle w:val="11"/>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jc w:val="left"/>
        <w:outlineLvl w:val="1"/>
        <w:rPr>
          <w:rFonts w:hint="eastAsia" w:ascii="黑体" w:hAnsi="黑体" w:eastAsia="黑体" w:cs="黑体"/>
          <w:b/>
          <w:bCs/>
          <w:highlight w:val="none"/>
          <w:shd w:val="clear" w:color="auto" w:fill="FFFFFF"/>
          <w:lang w:val="zh-CN" w:eastAsia="zh-CN"/>
        </w:rPr>
      </w:pPr>
    </w:p>
    <w:tbl>
      <w:tblPr>
        <w:tblStyle w:val="12"/>
        <w:tblpPr w:leftFromText="180" w:rightFromText="180" w:vertAnchor="text" w:horzAnchor="page" w:tblpX="1416" w:tblpY="451"/>
        <w:tblOverlap w:val="never"/>
        <w:tblW w:w="4776" w:type="pct"/>
        <w:tblInd w:w="0" w:type="dxa"/>
        <w:tblLayout w:type="fixed"/>
        <w:tblCellMar>
          <w:top w:w="0" w:type="dxa"/>
          <w:left w:w="108" w:type="dxa"/>
          <w:bottom w:w="0" w:type="dxa"/>
          <w:right w:w="108" w:type="dxa"/>
        </w:tblCellMar>
      </w:tblPr>
      <w:tblGrid>
        <w:gridCol w:w="626"/>
        <w:gridCol w:w="948"/>
        <w:gridCol w:w="3460"/>
        <w:gridCol w:w="816"/>
        <w:gridCol w:w="1377"/>
        <w:gridCol w:w="1645"/>
      </w:tblGrid>
      <w:tr>
        <w:trPr>
          <w:trHeight w:val="382" w:hRule="atLeast"/>
        </w:trPr>
        <w:tc>
          <w:tcPr>
            <w:tcW w:w="35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序号</w:t>
            </w:r>
          </w:p>
        </w:tc>
        <w:tc>
          <w:tcPr>
            <w:tcW w:w="534"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名称</w:t>
            </w:r>
          </w:p>
        </w:tc>
        <w:tc>
          <w:tcPr>
            <w:tcW w:w="1949"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技术规格</w:t>
            </w:r>
          </w:p>
        </w:tc>
        <w:tc>
          <w:tcPr>
            <w:tcW w:w="459"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单位</w:t>
            </w:r>
          </w:p>
        </w:tc>
        <w:tc>
          <w:tcPr>
            <w:tcW w:w="776"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center"/>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数量</w:t>
            </w:r>
          </w:p>
        </w:tc>
        <w:tc>
          <w:tcPr>
            <w:tcW w:w="927" w:type="pct"/>
            <w:tcBorders>
              <w:top w:val="single" w:color="auto" w:sz="4" w:space="0"/>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单价限价（含税）</w:t>
            </w:r>
          </w:p>
        </w:tc>
      </w:tr>
      <w:tr>
        <w:tblPrEx>
          <w:tblCellMar>
            <w:top w:w="0" w:type="dxa"/>
            <w:left w:w="108" w:type="dxa"/>
            <w:bottom w:w="0" w:type="dxa"/>
            <w:right w:w="108" w:type="dxa"/>
          </w:tblCellMar>
        </w:tblPrEx>
        <w:trPr>
          <w:trHeight w:val="452" w:hRule="atLeast"/>
        </w:trPr>
        <w:tc>
          <w:tcPr>
            <w:tcW w:w="352" w:type="pct"/>
            <w:tcBorders>
              <w:top w:val="nil"/>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w:t>
            </w:r>
          </w:p>
        </w:tc>
        <w:tc>
          <w:tcPr>
            <w:tcW w:w="534"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中心管理服务节点（硬件部分）</w:t>
            </w:r>
          </w:p>
        </w:tc>
        <w:tc>
          <w:tcPr>
            <w:tcW w:w="1949" w:type="pct"/>
            <w:tcBorders>
              <w:top w:val="nil"/>
              <w:left w:val="nil"/>
              <w:bottom w:val="single" w:color="auto" w:sz="4" w:space="0"/>
              <w:right w:val="single" w:color="auto" w:sz="4" w:space="0"/>
            </w:tcBorders>
            <w:shd w:val="clear" w:color="auto" w:fill="auto"/>
          </w:tcPr>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1、CPU：不少于2颗 x86架构国产化处理器，核数≥24核，频率≥2.2GHz；</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2、内存：不低于128G DDR4；</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3、硬盘：不少于4块600G 10K 2.5寸 SAS硬盘；</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4、阵列卡：配置RAID_2G卡，支持RAID 0/1/10/5/50/60；</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5、PCIE扩展：支持10个PCIE插槽；</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6、网口：不少于2个千兆电口，2个万兆光口；</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7、其他接口：不少于1个千兆RJ-45管理接口，4个USB 3.0接口、1个VGA接口；</w:t>
            </w: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8、电源：配置800W（1+1）高效铂金CRPS冗余电源。</w:t>
            </w:r>
          </w:p>
        </w:tc>
        <w:tc>
          <w:tcPr>
            <w:tcW w:w="45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台</w:t>
            </w:r>
          </w:p>
        </w:tc>
        <w:tc>
          <w:tcPr>
            <w:tcW w:w="776"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left"/>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4</w:t>
            </w:r>
          </w:p>
        </w:tc>
        <w:tc>
          <w:tcPr>
            <w:tcW w:w="927"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p>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52500元</w:t>
            </w:r>
          </w:p>
        </w:tc>
      </w:tr>
      <w:tr>
        <w:tblPrEx>
          <w:tblCellMar>
            <w:top w:w="0" w:type="dxa"/>
            <w:left w:w="108" w:type="dxa"/>
            <w:bottom w:w="0" w:type="dxa"/>
            <w:right w:w="108" w:type="dxa"/>
          </w:tblCellMar>
        </w:tblPrEx>
        <w:trPr>
          <w:trHeight w:val="1072" w:hRule="atLeast"/>
        </w:trPr>
        <w:tc>
          <w:tcPr>
            <w:tcW w:w="352" w:type="pct"/>
            <w:tcBorders>
              <w:top w:val="nil"/>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w:t>
            </w:r>
          </w:p>
        </w:tc>
        <w:tc>
          <w:tcPr>
            <w:tcW w:w="534"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综合监控平台升级扩容（软件 部分）</w:t>
            </w:r>
          </w:p>
        </w:tc>
        <w:tc>
          <w:tcPr>
            <w:tcW w:w="1949" w:type="pct"/>
            <w:tcBorders>
              <w:top w:val="nil"/>
              <w:left w:val="nil"/>
              <w:bottom w:val="single" w:color="auto" w:sz="4" w:space="0"/>
              <w:right w:val="single" w:color="auto" w:sz="4" w:space="0"/>
            </w:tcBorders>
            <w:shd w:val="clear" w:color="auto" w:fill="auto"/>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1、扩容平台视频联网能力，增加600路视频设备接入；</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2、新增运维模块，通过网络管理，对接入平台的视频设备、门禁设备、报警设备等，进行在线巡检，及时发现故障设备和掉线设备。</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★（1）要求支持以中心管理服务为核心的网络拓扑结构，支持对系统中的分组、服务器、组件等统计概览、查看，磋商响应人提供公安部检测报告并加盖公章；</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要求支持对监控的图像进行视频质量诊断，图像异常项包括图像偏色、噪声干扰、图像过暗、图像过亮、视频丢帧、视频抖动、对比度异常、条纹干扰、视频遮挡、信号丢失、图像黑白、图像模糊、场景变换、视频剧变；</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要求支持多色彩（红、橙、黄）展示运行告警状态，支持告警统计、概览、处理，支持告警记录查看、查询，支持告警单条、批量处理；支持系统最近7天每日告警数统计，支持评分量化系统监控指数，显示系统运行状态，磋商响应人提供公安部检测报告并加盖公章；</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3、新增融合监控模块，要求支持将视频预览画面、门禁出入信息、出入口进出信息、智能监控实时监控信息融合在一个客户端页面进行展示；</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4、增加视频点位联网服务，提供平台域间视频联网，基于视频通用标准协议（GB/T28181-2011,GB/T28181-2016）与外域平台互联互通，实现平台视频资源点位推送等操作控制；</w:t>
            </w:r>
          </w:p>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★5、国产化适配上，需要支持系统部署在欧拉操作系统、银河麒麟操作系统环境中，磋商响应人提供公安部检测报告并加盖公章。</w:t>
            </w:r>
          </w:p>
        </w:tc>
        <w:tc>
          <w:tcPr>
            <w:tcW w:w="45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套</w:t>
            </w:r>
          </w:p>
        </w:tc>
        <w:tc>
          <w:tcPr>
            <w:tcW w:w="776"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w:t>
            </w:r>
          </w:p>
        </w:tc>
        <w:tc>
          <w:tcPr>
            <w:tcW w:w="927"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71500元</w:t>
            </w:r>
          </w:p>
        </w:tc>
      </w:tr>
      <w:tr>
        <w:tblPrEx>
          <w:tblCellMar>
            <w:top w:w="0" w:type="dxa"/>
            <w:left w:w="108" w:type="dxa"/>
            <w:bottom w:w="0" w:type="dxa"/>
            <w:right w:w="108" w:type="dxa"/>
          </w:tblCellMar>
        </w:tblPrEx>
        <w:trPr>
          <w:trHeight w:val="460" w:hRule="atLeast"/>
        </w:trPr>
        <w:tc>
          <w:tcPr>
            <w:tcW w:w="352" w:type="pct"/>
            <w:tcBorders>
              <w:top w:val="nil"/>
              <w:left w:val="single" w:color="auto" w:sz="4" w:space="0"/>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3</w:t>
            </w:r>
          </w:p>
        </w:tc>
        <w:tc>
          <w:tcPr>
            <w:tcW w:w="534"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网络板卡</w:t>
            </w:r>
          </w:p>
        </w:tc>
        <w:tc>
          <w:tcPr>
            <w:tcW w:w="194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★24端口千兆以太网电接口(RJ45)+4端口万兆以太网光接口模块(SFP+LC)</w:t>
            </w:r>
          </w:p>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注：原核心交换机品牌为H3C,此卡为扩容，需适配原核心交换机。型号：LSUM2GT24TSSE0</w:t>
            </w:r>
          </w:p>
        </w:tc>
        <w:tc>
          <w:tcPr>
            <w:tcW w:w="459"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块</w:t>
            </w:r>
          </w:p>
        </w:tc>
        <w:tc>
          <w:tcPr>
            <w:tcW w:w="776"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ind w:firstLine="400" w:firstLineChars="200"/>
              <w:jc w:val="both"/>
              <w:rPr>
                <w:rFonts w:hint="eastAsia"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1</w:t>
            </w:r>
          </w:p>
        </w:tc>
        <w:tc>
          <w:tcPr>
            <w:tcW w:w="927" w:type="pct"/>
            <w:tcBorders>
              <w:top w:val="nil"/>
              <w:left w:val="nil"/>
              <w:bottom w:val="single" w:color="auto" w:sz="4" w:space="0"/>
              <w:right w:val="single" w:color="auto" w:sz="4" w:space="0"/>
            </w:tcBorders>
            <w:shd w:val="clear" w:color="auto" w:fill="auto"/>
            <w:vAlign w:val="center"/>
          </w:tcPr>
          <w:p>
            <w:pPr>
              <w:pStyle w:val="11"/>
              <w:widowControl/>
              <w:shd w:val="clear" w:color="auto" w:fill="FFFFFF"/>
              <w:spacing w:beforeAutospacing="0" w:afterAutospacing="0" w:line="240" w:lineRule="auto"/>
              <w:jc w:val="both"/>
              <w:rPr>
                <w:rFonts w:hint="default" w:ascii="仿宋" w:hAnsi="仿宋" w:eastAsia="仿宋" w:cs="仿宋"/>
                <w:b w:val="0"/>
                <w:bCs w:val="0"/>
                <w:sz w:val="20"/>
                <w:szCs w:val="20"/>
                <w:highlight w:val="none"/>
                <w:shd w:val="clear" w:color="auto" w:fill="FFFFFF"/>
                <w:lang w:val="en-US" w:eastAsia="zh-CN"/>
              </w:rPr>
            </w:pPr>
            <w:r>
              <w:rPr>
                <w:rFonts w:hint="eastAsia" w:ascii="仿宋" w:hAnsi="仿宋" w:eastAsia="仿宋" w:cs="仿宋"/>
                <w:b w:val="0"/>
                <w:bCs w:val="0"/>
                <w:sz w:val="20"/>
                <w:szCs w:val="20"/>
                <w:highlight w:val="none"/>
                <w:shd w:val="clear" w:color="auto" w:fill="FFFFFF"/>
                <w:lang w:val="en-US" w:eastAsia="zh-CN"/>
              </w:rPr>
              <w:t>85000元</w:t>
            </w:r>
          </w:p>
        </w:tc>
      </w:tr>
    </w:tbl>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磋商响应人对采购清单内容进行逐项报价，超过单价限价视为无效投标</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注：</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eastAsia" w:ascii="宋体" w:hAnsi="宋体" w:eastAsia="宋体" w:cs="宋体"/>
          <w:b w:val="0"/>
          <w:bCs w:val="0"/>
          <w:highlight w:val="none"/>
          <w:shd w:val="clear" w:color="auto" w:fill="FFFFFF"/>
          <w:lang w:val="en-US" w:eastAsia="zh-CN"/>
        </w:rPr>
        <w:t>①</w:t>
      </w:r>
      <w:r>
        <w:rPr>
          <w:rFonts w:hint="eastAsia" w:ascii="仿宋" w:hAnsi="仿宋" w:eastAsia="仿宋" w:cs="仿宋"/>
          <w:b w:val="0"/>
          <w:bCs w:val="0"/>
          <w:highlight w:val="none"/>
          <w:shd w:val="clear" w:color="auto" w:fill="FFFFFF"/>
          <w:lang w:val="en-US" w:eastAsia="zh-CN"/>
        </w:rPr>
        <w:t>经济性原则：要充分利用现有的软硬件环境和应用建设成果，尽可能避免重复建设和资源浪费，所有升级功能成交候选人承诺在原有系统上完成升级开发或免费实现原有系统全部功能；</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default" w:ascii="Calibri" w:hAnsi="Calibri" w:eastAsia="仿宋" w:cs="Calibri"/>
          <w:b w:val="0"/>
          <w:bCs w:val="0"/>
          <w:highlight w:val="none"/>
          <w:shd w:val="clear" w:color="auto" w:fill="FFFFFF"/>
          <w:lang w:val="en-US" w:eastAsia="zh-CN"/>
        </w:rPr>
        <w:t>②</w:t>
      </w:r>
      <w:r>
        <w:rPr>
          <w:rFonts w:hint="eastAsia" w:ascii="仿宋" w:hAnsi="仿宋" w:eastAsia="仿宋" w:cs="仿宋"/>
          <w:b w:val="0"/>
          <w:bCs w:val="0"/>
          <w:highlight w:val="none"/>
          <w:shd w:val="clear" w:color="auto" w:fill="FFFFFF"/>
          <w:lang w:val="en-US" w:eastAsia="zh-CN"/>
        </w:rPr>
        <w:t>本次项目需对综合监控平台、后端管理服务器进行升级扩容，需承诺无缝对接现有视频图像存储资源池，确保业务不中断，数据不丢失（提供书面承诺），否则视为无效投标；</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val="0"/>
          <w:bCs w:val="0"/>
          <w:highlight w:val="none"/>
          <w:shd w:val="clear" w:color="auto" w:fill="FFFFFF"/>
          <w:lang w:val="en-US" w:eastAsia="zh-CN"/>
        </w:rPr>
      </w:pPr>
      <w:r>
        <w:rPr>
          <w:rFonts w:hint="default" w:ascii="Calibri" w:hAnsi="Calibri" w:eastAsia="仿宋" w:cs="Calibri"/>
          <w:b w:val="0"/>
          <w:bCs w:val="0"/>
          <w:highlight w:val="none"/>
          <w:shd w:val="clear" w:color="auto" w:fill="FFFFFF"/>
          <w:lang w:val="en-US" w:eastAsia="zh-CN"/>
        </w:rPr>
        <w:t>③</w:t>
      </w:r>
      <w:r>
        <w:rPr>
          <w:rFonts w:hint="eastAsia" w:ascii="仿宋" w:hAnsi="仿宋" w:eastAsia="仿宋" w:cs="仿宋"/>
          <w:b w:val="0"/>
          <w:bCs w:val="0"/>
          <w:highlight w:val="none"/>
          <w:shd w:val="clear" w:color="auto" w:fill="FFFFFF"/>
          <w:lang w:val="en-US" w:eastAsia="zh-CN"/>
        </w:rPr>
        <w:t>磋商响应人注意符号“★”条款，采购人不接受负偏离，否则视为无效投标。</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2.执行标准</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《公共安全视频监控联网系统 信息传输、交换、控制技术要求》GB/T 28181-2016</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《智能建筑设计标准》GB/T50314-2015</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《安全防范工程技术规范》GB50348—2004</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《信息技术互连国际标准》ISO/IEC11801-95</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《计算机软件开发规范》GB8566</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《软件集成与运行规范》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《组件开发规范（系列文档）》</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《软件构架开发规范（系列文档）》</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《软件产品开发规范》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《软件日志记录规范》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《RESTful API开发规范》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w:t>
      </w:r>
      <w:r>
        <w:rPr>
          <w:rFonts w:hint="default" w:ascii="仿宋" w:hAnsi="仿宋" w:eastAsia="仿宋" w:cs="仿宋"/>
          <w:b w:val="0"/>
          <w:bCs w:val="0"/>
          <w:highlight w:val="none"/>
          <w:shd w:val="clear" w:color="auto" w:fill="FFFFFF"/>
          <w:lang w:val="en-US" w:eastAsia="zh-CN"/>
        </w:rPr>
        <w:fldChar w:fldCharType="begin"/>
      </w:r>
      <w:r>
        <w:rPr>
          <w:rFonts w:hint="default" w:ascii="仿宋" w:hAnsi="仿宋" w:eastAsia="仿宋" w:cs="仿宋"/>
          <w:b w:val="0"/>
          <w:bCs w:val="0"/>
          <w:highlight w:val="none"/>
          <w:shd w:val="clear" w:color="auto" w:fill="FFFFFF"/>
          <w:lang w:val="en-US" w:eastAsia="zh-CN"/>
        </w:rPr>
        <w:instrText xml:space="preserve"> HYPERLINK "https://wiki.hikvision.com.cn/download/attachments/43945681/%E8%BD%AF%E4%BB%B6%E9%94%99%E8%AF%AF%E7%A0%81%E8%A7%84%E8%8C%83.docx?version=2&amp;modificationDate=1508837068603&amp;api=v2" </w:instrText>
      </w:r>
      <w:r>
        <w:rPr>
          <w:rFonts w:hint="default" w:ascii="仿宋" w:hAnsi="仿宋" w:eastAsia="仿宋" w:cs="仿宋"/>
          <w:b w:val="0"/>
          <w:bCs w:val="0"/>
          <w:highlight w:val="none"/>
          <w:shd w:val="clear" w:color="auto" w:fill="FFFFFF"/>
          <w:lang w:val="en-US" w:eastAsia="zh-CN"/>
        </w:rPr>
        <w:fldChar w:fldCharType="separate"/>
      </w:r>
      <w:r>
        <w:rPr>
          <w:rFonts w:hint="default" w:ascii="仿宋" w:hAnsi="仿宋" w:eastAsia="仿宋" w:cs="仿宋"/>
          <w:b w:val="0"/>
          <w:bCs w:val="0"/>
          <w:highlight w:val="none"/>
          <w:shd w:val="clear" w:color="auto" w:fill="FFFFFF"/>
          <w:lang w:val="en-US" w:eastAsia="zh-CN"/>
        </w:rPr>
        <w:t>软件错误码规范</w:t>
      </w:r>
      <w:r>
        <w:rPr>
          <w:rFonts w:hint="default" w:ascii="仿宋" w:hAnsi="仿宋" w:eastAsia="仿宋" w:cs="仿宋"/>
          <w:b w:val="0"/>
          <w:bCs w:val="0"/>
          <w:highlight w:val="none"/>
          <w:shd w:val="clear" w:color="auto" w:fill="FFFFFF"/>
          <w:lang w:val="en-US" w:eastAsia="zh-CN"/>
        </w:rPr>
        <w:fldChar w:fldCharType="end"/>
      </w:r>
      <w:r>
        <w:rPr>
          <w:rFonts w:hint="default" w:ascii="仿宋" w:hAnsi="仿宋" w:eastAsia="仿宋" w:cs="仿宋"/>
          <w:b w:val="0"/>
          <w:bCs w:val="0"/>
          <w:highlight w:val="none"/>
          <w:shd w:val="clear" w:color="auto" w:fill="FFFFFF"/>
          <w:lang w:val="en-US" w:eastAsia="zh-CN"/>
        </w:rPr>
        <w:t>》</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《开源软件管理规范》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《门禁系统联网技术标准规范》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《停车场联网技术标准规范》</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《基础环境选型指南》</w:t>
      </w:r>
    </w:p>
    <w:p>
      <w:pPr>
        <w:pStyle w:val="11"/>
        <w:widowControl/>
        <w:numPr>
          <w:ilvl w:val="0"/>
          <w:numId w:val="0"/>
        </w:numPr>
        <w:shd w:val="clear" w:color="auto" w:fill="FFFFFF"/>
        <w:spacing w:beforeAutospacing="0" w:afterAutospacing="0" w:line="360" w:lineRule="auto"/>
        <w:jc w:val="both"/>
        <w:rPr>
          <w:rFonts w:hint="eastAsia" w:ascii="仿宋" w:hAnsi="仿宋" w:eastAsia="仿宋" w:cs="仿宋"/>
          <w:b/>
          <w:bCs/>
          <w:highlight w:val="none"/>
          <w:shd w:val="clear" w:color="auto" w:fill="FFFFFF"/>
          <w:lang w:val="en-US" w:eastAsia="zh-CN"/>
        </w:rPr>
      </w:pPr>
      <w:r>
        <w:rPr>
          <w:rFonts w:hint="eastAsia" w:ascii="仿宋" w:hAnsi="仿宋" w:eastAsia="仿宋" w:cs="仿宋"/>
          <w:b/>
          <w:bCs/>
          <w:highlight w:val="none"/>
          <w:shd w:val="clear" w:color="auto" w:fill="FFFFFF"/>
          <w:lang w:val="en-US" w:eastAsia="zh-CN"/>
        </w:rPr>
        <w:t>3.安全要求</w:t>
      </w:r>
    </w:p>
    <w:p>
      <w:pPr>
        <w:pStyle w:val="11"/>
        <w:widowControl/>
        <w:numPr>
          <w:ilvl w:val="0"/>
          <w:numId w:val="0"/>
        </w:numPr>
        <w:shd w:val="clear" w:color="auto" w:fill="FFFFFF"/>
        <w:spacing w:beforeAutospacing="0" w:afterAutospacing="0" w:line="360" w:lineRule="auto"/>
        <w:jc w:val="both"/>
        <w:rPr>
          <w:rFonts w:hint="default" w:ascii="仿宋" w:hAnsi="仿宋" w:eastAsia="仿宋" w:cs="仿宋"/>
          <w:b w:val="0"/>
          <w:bCs w:val="0"/>
          <w:highlight w:val="none"/>
          <w:shd w:val="clear" w:color="auto" w:fill="FFFFFF"/>
          <w:lang w:val="en-US" w:eastAsia="zh-CN"/>
        </w:rPr>
      </w:pPr>
      <w:r>
        <w:rPr>
          <w:rFonts w:hint="default" w:ascii="仿宋" w:hAnsi="仿宋" w:eastAsia="仿宋" w:cs="仿宋"/>
          <w:b w:val="0"/>
          <w:bCs w:val="0"/>
          <w:highlight w:val="none"/>
          <w:shd w:val="clear" w:color="auto" w:fill="FFFFFF"/>
          <w:lang w:val="en-US" w:eastAsia="zh-CN"/>
        </w:rPr>
        <w:t>满足国家网络安全等级保护制度2.0标准中等保二级相关要求</w:t>
      </w:r>
    </w:p>
    <w:p>
      <w:pPr>
        <w:pStyle w:val="11"/>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1、交货期限：自</w:t>
      </w:r>
      <w:r>
        <w:rPr>
          <w:rFonts w:hint="eastAsia" w:ascii="仿宋" w:hAnsi="仿宋" w:eastAsia="仿宋" w:cs="仿宋"/>
          <w:highlight w:val="none"/>
          <w:shd w:val="clear" w:color="auto" w:fill="FFFFFF"/>
          <w:lang w:val="en-US" w:eastAsia="zh-CN"/>
        </w:rPr>
        <w:t>合同签订</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30</w:t>
      </w:r>
      <w:r>
        <w:rPr>
          <w:rFonts w:hint="eastAsia" w:ascii="仿宋" w:hAnsi="仿宋" w:eastAsia="仿宋" w:cs="仿宋"/>
          <w:highlight w:val="none"/>
          <w:shd w:val="clear" w:color="auto" w:fill="FFFFFF"/>
        </w:rPr>
        <w:t>天内安装调试到位。</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、交付地点：南通兴东国际机场</w:t>
      </w:r>
    </w:p>
    <w:p>
      <w:pPr>
        <w:pStyle w:val="11"/>
        <w:widowControl/>
        <w:shd w:val="clear" w:color="auto" w:fill="FFFFFF"/>
        <w:spacing w:beforeAutospacing="0" w:afterAutospacing="0" w:line="360" w:lineRule="auto"/>
        <w:ind w:firstLine="480" w:firstLineChars="200"/>
        <w:jc w:val="both"/>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3、质量保证：不低于3年，质保期内免费对软硬件进行升级维护</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、验收标准：产品按照双方签订的合同、</w:t>
      </w:r>
      <w:r>
        <w:rPr>
          <w:rFonts w:hint="eastAsia" w:ascii="仿宋" w:hAnsi="仿宋" w:eastAsia="仿宋" w:cs="仿宋"/>
          <w:highlight w:val="none"/>
          <w:shd w:val="clear" w:color="auto" w:fill="FFFFFF"/>
          <w:lang w:eastAsia="zh-CN"/>
        </w:rPr>
        <w:t>采购文件</w:t>
      </w:r>
      <w:r>
        <w:rPr>
          <w:rFonts w:hint="eastAsia" w:ascii="仿宋" w:hAnsi="仿宋" w:eastAsia="仿宋" w:cs="仿宋"/>
          <w:highlight w:val="none"/>
          <w:shd w:val="clear" w:color="auto" w:fill="FFFFFF"/>
        </w:rPr>
        <w:t>以及投标文件的相关内容进行现场验收。</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、验收方案：双方当场验收</w:t>
      </w:r>
      <w:r>
        <w:rPr>
          <w:rFonts w:hint="eastAsia" w:ascii="仿宋" w:hAnsi="仿宋" w:eastAsia="仿宋" w:cs="仿宋"/>
          <w:highlight w:val="none"/>
          <w:shd w:val="clear" w:color="auto" w:fill="FFFFFF"/>
          <w:lang w:eastAsia="zh-CN"/>
        </w:rPr>
        <w:t>。</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rPr>
        <w:t>、付款条件：验收合格后，</w:t>
      </w:r>
      <w:r>
        <w:rPr>
          <w:rFonts w:hint="eastAsia" w:ascii="仿宋" w:hAnsi="仿宋" w:eastAsia="仿宋" w:cs="仿宋"/>
          <w:highlight w:val="none"/>
          <w:shd w:val="clear" w:color="auto" w:fill="FFFFFF"/>
          <w:lang w:eastAsia="zh-CN"/>
        </w:rPr>
        <w:t>成交人</w:t>
      </w:r>
      <w:r>
        <w:rPr>
          <w:rFonts w:hint="eastAsia" w:ascii="仿宋" w:hAnsi="仿宋" w:eastAsia="仿宋" w:cs="仿宋"/>
          <w:highlight w:val="none"/>
          <w:shd w:val="clear" w:color="auto" w:fill="FFFFFF"/>
        </w:rPr>
        <w:t>出具增值税专用发票，</w:t>
      </w:r>
      <w:r>
        <w:rPr>
          <w:rFonts w:hint="eastAsia" w:ascii="仿宋" w:hAnsi="仿宋" w:eastAsia="仿宋" w:cs="仿宋"/>
          <w:highlight w:val="none"/>
          <w:shd w:val="clear" w:color="auto" w:fill="FFFFFF"/>
          <w:lang w:val="en-US" w:eastAsia="zh-CN"/>
        </w:rPr>
        <w:t>机场支付合同价款97%，留3%质保金，3年后无息返还。</w:t>
      </w:r>
    </w:p>
    <w:p>
      <w:pPr>
        <w:pStyle w:val="11"/>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rPr>
        <w:t>、售后服务：供应商需保证提供优良服务，具备7X24小时远程支持能力，必须2小时内响应，采购方如有需求，需在1.5小时内赶赴现场，24小时内完成采购方提出的售后要求，如需更换或送修需在2个工作日内完成。</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7"/>
        <w:jc w:val="left"/>
        <w:outlineLvl w:val="9"/>
        <w:rPr>
          <w:rFonts w:hint="eastAsia" w:ascii="仿宋" w:hAnsi="仿宋" w:eastAsia="仿宋" w:cs="仿宋"/>
          <w:sz w:val="28"/>
          <w:szCs w:val="28"/>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8"/>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233045</wp:posOffset>
                </wp:positionV>
                <wp:extent cx="156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6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3pt;margin-top:18.35pt;height:0.05pt;width:123pt;z-index:251659264;mso-width-relative:page;mso-height-relative:page;" filled="f" stroked="t" coordsize="21600,21600" o:gfxdata="UEsDBAoAAAAAAIdO4kAAAAAAAAAAAAAAAAAEAAAAZHJzL1BLAwQUAAAACACHTuJAVem69dcAAAAJ&#10;AQAADwAAAGRycy9kb3ducmV2LnhtbE2PzU7DMBCE70i8g7VIXKrWTqqGKMTpAciNCy2I6zbeJhGx&#10;ncbuDzw92xPcdmdGs9+W64sdxImm0HunIVkoEOQab3rXanjf1vMcRIjoDA7ekYZvCrCubm9KLIw/&#10;uzc6bWIruMSFAjV0MY6FlKHpyGJY+JEce3s/WYy8Tq00E5653A4yVSqTFnvHFzoc6amj5mtztBpC&#10;/UGH+mfWzNTnsvWUHp5fX1Dr+7tEPYKIdIl/YbjiMzpUzLTzR2eCGDQskzTjKA/ZAwgOrFY5C7ur&#10;kIOsSvn/g+oXUEsDBBQAAAAIAIdO4kClrutP9AEAAOYDAAAOAAAAZHJzL2Uyb0RvYy54bWytU0uO&#10;EzEQ3SNxB8t70klQImilM4sJwwbBSMABKra725J/cjnp5BJcAIkdrFiy5zYMx6DsDhkYNlnQC3fZ&#10;fn6u96q8ujpYw/Yqovau4bPJlDPlhJfadQ1//+7myTPOMIGTYLxTDT8q5Ffrx49WQ6jV3PfeSBUZ&#10;kTish9DwPqVQVxWKXlnAiQ/K0Wbro4VE09hVMsJA7NZU8+l0WQ0+yhC9UIi0uhk3+YkxXkLo21YL&#10;tfFiZ5VLI2tUBhJJwl4H5OuSbdsqkd60LarETMNJaSojXULxNo/VegV1FyH0WpxSgEtSeKDJgnZ0&#10;6ZlqAwnYLup/qKwW0aNv00R4W41CiiOkYjZ94M3bHoIqWshqDGfT8f/Ritf728i0pE7gzIGlgt99&#10;/Pbjw+ef3z/RePf1C5tlk4aANWGv3W08zTDcxqz40Eab/6SFHYqxx7Ox6pCYoMXZYjmfTclzQXvL&#10;p4vMWN0fDRHTS+Uty0HDjXZZNdSwf4VphP6G5GXj2NDw54v5ggiBWrCl0lNoA8lA15Wz6I2WN9qY&#10;fAJjt702ke0ht0H5Tin8BcuXbAD7EVe2MgzqXoF84SRLx0AGOXoXPKdgleTMKHpGOSrIBNpcgiT1&#10;xpEJ2dfRyRxtvTxSOXYh6q4nJ4r1BUPlL5adWjX315/zwnT/P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puvXXAAAACQEAAA8AAAAAAAAAAQAgAAAAIgAAAGRycy9kb3ducmV2LnhtbFBLAQIU&#10;ABQAAAAIAIdO4kClrutP9AEAAOY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4"/>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中心管理服务节点（硬件部分）</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综合监控平台升级扩容（软件 部分）</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网络板卡</w:t>
            </w: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增值税税率</w:t>
            </w:r>
            <w:r>
              <w:rPr>
                <w:rFonts w:ascii="仿宋" w:hAnsi="仿宋" w:eastAsia="仿宋" w:cs="仿宋"/>
                <w:spacing w:val="20"/>
                <w:szCs w:val="21"/>
                <w:highlight w:val="none"/>
                <w:u w:val="single"/>
              </w:rPr>
              <w:t xml:space="preserve">                             </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tcBorders>
              <w:bottom w:val="double" w:color="auto" w:sz="4" w:space="0"/>
            </w:tcBorders>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r>
        <w:rPr>
          <w:rFonts w:hint="eastAsia" w:ascii="仿宋" w:hAnsi="仿宋" w:eastAsia="仿宋" w:cs="仿宋"/>
          <w:sz w:val="24"/>
          <w:highlight w:val="none"/>
          <w:lang w:eastAsia="zh-CN"/>
        </w:rPr>
        <w:t>最终报价</w:t>
      </w:r>
      <w:r>
        <w:rPr>
          <w:rFonts w:hint="eastAsia" w:ascii="仿宋" w:hAnsi="仿宋" w:eastAsia="仿宋" w:cs="仿宋"/>
          <w:sz w:val="24"/>
          <w:highlight w:val="none"/>
          <w:lang w:val="en-US" w:eastAsia="zh-CN"/>
        </w:rPr>
        <w:t>以现场电话报价为准</w:t>
      </w:r>
      <w:r>
        <w:rPr>
          <w:rFonts w:hint="eastAsia" w:ascii="仿宋" w:hAnsi="仿宋" w:eastAsia="仿宋" w:cs="仿宋"/>
          <w:sz w:val="24"/>
          <w:highlight w:val="none"/>
          <w:lang w:eastAsia="zh-CN"/>
        </w:rPr>
        <w:t>。</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南通</w:t>
      </w:r>
      <w:r>
        <w:rPr>
          <w:rFonts w:hint="eastAsia" w:ascii="仿宋" w:hAnsi="仿宋" w:eastAsia="仿宋" w:cs="仿宋"/>
          <w:sz w:val="24"/>
          <w:szCs w:val="24"/>
          <w:highlight w:val="none"/>
          <w:u w:val="single"/>
          <w:lang w:eastAsia="zh-CN"/>
        </w:rPr>
        <w:t>机场集团</w:t>
      </w:r>
      <w:r>
        <w:rPr>
          <w:rFonts w:hint="eastAsia" w:ascii="仿宋" w:hAnsi="仿宋" w:eastAsia="仿宋" w:cs="仿宋"/>
          <w:sz w:val="24"/>
          <w:szCs w:val="24"/>
          <w:highlight w:val="none"/>
          <w:u w:val="single"/>
        </w:rPr>
        <w:t>有限公司</w:t>
      </w:r>
      <w:r>
        <w:rPr>
          <w:rFonts w:hint="eastAsia" w:ascii="仿宋" w:hAnsi="仿宋" w:eastAsia="仿宋" w:cs="仿宋"/>
          <w:sz w:val="24"/>
          <w:szCs w:val="24"/>
          <w:highlight w:val="none"/>
        </w:rPr>
        <w:t>：</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根据贵方</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采购公告</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招标编号</w:t>
      </w:r>
      <w:r>
        <w:rPr>
          <w:rFonts w:hint="eastAsia" w:ascii="仿宋" w:hAnsi="仿宋" w:eastAsia="仿宋" w:cs="仿宋"/>
          <w:sz w:val="24"/>
          <w:szCs w:val="24"/>
          <w:highlight w:val="none"/>
          <w:u w:val="single"/>
          <w:lang w:eastAsia="zh-CN"/>
        </w:rPr>
        <w:t>XXXX-XX-202XXXX</w:t>
      </w:r>
      <w:r>
        <w:rPr>
          <w:rFonts w:hint="eastAsia" w:ascii="仿宋" w:hAnsi="仿宋" w:eastAsia="仿宋" w:cs="仿宋"/>
          <w:sz w:val="24"/>
          <w:szCs w:val="24"/>
          <w:highlight w:val="none"/>
        </w:rPr>
        <w:t>），签字代表</w:t>
      </w:r>
      <w:r>
        <w:rPr>
          <w:rFonts w:hint="eastAsia" w:ascii="仿宋" w:hAnsi="仿宋" w:eastAsia="仿宋" w:cs="仿宋"/>
          <w:sz w:val="24"/>
          <w:szCs w:val="24"/>
          <w:highlight w:val="none"/>
          <w:u w:val="single"/>
        </w:rPr>
        <w:t>（姓名、职务）</w:t>
      </w:r>
      <w:r>
        <w:rPr>
          <w:rFonts w:hint="eastAsia" w:ascii="仿宋" w:hAnsi="仿宋" w:eastAsia="仿宋" w:cs="仿宋"/>
          <w:sz w:val="24"/>
          <w:szCs w:val="24"/>
          <w:highlight w:val="none"/>
        </w:rPr>
        <w:t>经正式授权并代表</w:t>
      </w:r>
      <w:r>
        <w:rPr>
          <w:rFonts w:hint="eastAsia" w:ascii="仿宋" w:hAnsi="仿宋" w:eastAsia="仿宋" w:cs="仿宋"/>
          <w:sz w:val="24"/>
          <w:szCs w:val="24"/>
          <w:highlight w:val="none"/>
          <w:lang w:eastAsia="zh-CN"/>
        </w:rPr>
        <w:t>磋商响应人</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响应供应商</w:t>
      </w:r>
      <w:r>
        <w:rPr>
          <w:rFonts w:hint="eastAsia" w:ascii="仿宋" w:hAnsi="仿宋" w:eastAsia="仿宋" w:cs="仿宋"/>
          <w:sz w:val="24"/>
          <w:szCs w:val="24"/>
          <w:highlight w:val="none"/>
          <w:u w:val="single"/>
        </w:rPr>
        <w:t>名称、地址）</w:t>
      </w:r>
      <w:r>
        <w:rPr>
          <w:rFonts w:hint="eastAsia" w:ascii="仿宋" w:hAnsi="仿宋" w:eastAsia="仿宋" w:cs="仿宋"/>
          <w:sz w:val="24"/>
          <w:szCs w:val="24"/>
          <w:highlight w:val="none"/>
        </w:rPr>
        <w:t>提交</w:t>
      </w:r>
      <w:r>
        <w:rPr>
          <w:rFonts w:hint="eastAsia" w:ascii="仿宋" w:hAnsi="仿宋" w:eastAsia="仿宋" w:cs="仿宋"/>
          <w:sz w:val="24"/>
          <w:szCs w:val="24"/>
          <w:highlight w:val="none"/>
          <w:lang w:eastAsia="zh-CN"/>
        </w:rPr>
        <w:t>响应文件</w:t>
      </w:r>
      <w:r>
        <w:rPr>
          <w:rFonts w:hint="eastAsia" w:ascii="仿宋" w:hAnsi="仿宋" w:eastAsia="仿宋" w:cs="仿宋"/>
          <w:color w:val="auto"/>
          <w:sz w:val="24"/>
          <w:szCs w:val="24"/>
          <w:highlight w:val="none"/>
        </w:rPr>
        <w:t>正本一份及副本一份</w:t>
      </w:r>
      <w:r>
        <w:rPr>
          <w:rFonts w:hint="eastAsia" w:ascii="仿宋" w:hAnsi="仿宋" w:eastAsia="仿宋" w:cs="仿宋"/>
          <w:sz w:val="24"/>
          <w:szCs w:val="24"/>
          <w:highlight w:val="none"/>
        </w:rPr>
        <w:t>（包括</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要求提供的全部资料）；</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据此函，签字代表宣布同意如下：</w:t>
      </w:r>
    </w:p>
    <w:p>
      <w:pPr>
        <w:pStyle w:val="8"/>
        <w:pageBreakBefore w:val="0"/>
        <w:kinsoku/>
        <w:wordWrap/>
        <w:overflowPunct/>
        <w:topLinePunct w:val="0"/>
        <w:bidi w:val="0"/>
        <w:adjustRightInd/>
        <w:snapToGrid/>
        <w:spacing w:line="400" w:lineRule="exact"/>
        <w:ind w:left="0" w:leftChars="0" w:right="0" w:rightChars="0" w:firstLine="475" w:firstLineChars="198"/>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1．所附投标价格表中规定的</w:t>
      </w:r>
      <w:r>
        <w:rPr>
          <w:rFonts w:hint="eastAsia" w:ascii="仿宋" w:hAnsi="仿宋" w:eastAsia="仿宋" w:cs="仿宋"/>
          <w:sz w:val="24"/>
          <w:szCs w:val="24"/>
          <w:highlight w:val="none"/>
          <w:lang w:eastAsia="zh-CN"/>
        </w:rPr>
        <w:t>项目</w:t>
      </w:r>
      <w:r>
        <w:rPr>
          <w:rFonts w:hint="eastAsia" w:ascii="仿宋" w:hAnsi="仿宋" w:eastAsia="仿宋" w:cs="仿宋"/>
          <w:sz w:val="24"/>
          <w:szCs w:val="24"/>
          <w:highlight w:val="none"/>
        </w:rPr>
        <w:t>投标总价为</w:t>
      </w:r>
      <w:r>
        <w:rPr>
          <w:rFonts w:hint="eastAsia" w:ascii="仿宋" w:hAnsi="仿宋" w:eastAsia="仿宋" w:cs="仿宋"/>
          <w:sz w:val="24"/>
          <w:szCs w:val="24"/>
          <w:highlight w:val="none"/>
          <w:u w:val="single"/>
        </w:rPr>
        <w:t>（注明币种，并用文字和数字表示的投标总价）。</w:t>
      </w:r>
    </w:p>
    <w:p>
      <w:pPr>
        <w:pStyle w:val="8"/>
        <w:pageBreakBefore w:val="0"/>
        <w:kinsoku/>
        <w:wordWrap/>
        <w:overflowPunct/>
        <w:topLinePunct w:val="0"/>
        <w:bidi w:val="0"/>
        <w:adjustRightInd/>
        <w:snapToGrid/>
        <w:spacing w:line="400" w:lineRule="exact"/>
        <w:ind w:left="0" w:leftChars="0" w:right="0" w:righ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2．我方已详细审查全部</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，包括有关澄清和补充说明（如果有的话）。我们完全理解并同意放弃对这方面有不明及误解的权力。</w:t>
      </w:r>
    </w:p>
    <w:p>
      <w:pPr>
        <w:pStyle w:val="8"/>
        <w:pageBreakBefore w:val="0"/>
        <w:kinsoku/>
        <w:wordWrap/>
        <w:overflowPunct/>
        <w:topLinePunct w:val="0"/>
        <w:bidi w:val="0"/>
        <w:adjustRightInd/>
        <w:snapToGrid/>
        <w:spacing w:line="400" w:lineRule="exact"/>
        <w:ind w:left="0" w:leftChars="0" w:right="0" w:rightChars="0" w:firstLine="475" w:firstLineChars="198"/>
        <w:rPr>
          <w:rFonts w:hint="eastAsia" w:ascii="仿宋" w:hAnsi="仿宋" w:eastAsia="仿宋" w:cs="仿宋"/>
          <w:sz w:val="24"/>
          <w:szCs w:val="24"/>
          <w:highlight w:val="none"/>
        </w:rPr>
      </w:pPr>
      <w:r>
        <w:rPr>
          <w:rFonts w:hint="eastAsia" w:ascii="仿宋" w:hAnsi="仿宋" w:eastAsia="仿宋" w:cs="仿宋"/>
          <w:sz w:val="24"/>
          <w:szCs w:val="24"/>
          <w:highlight w:val="none"/>
        </w:rPr>
        <w:t>3．本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有效期为自开标日起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XX</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个日历日。在这期间，本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将始终对我方具有约束力，并可随时被接受。本次</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（含承诺书）将作为买卖合同的附件。</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4．如果在规定的开标时间后，我方在投标有效期内撤回投标，其投标保证金将被贵方没收。</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5．我方愿意向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提供任何与本次招标相关的其他资料。</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6．我方将严格履行本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中的全部承诺和责任，并遵守</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中对</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的所有规定。</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7．如果我方中标，将派出（姓名）作为本项目的项目负责人（或项目经理）。</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8．如果我方中标，我们将在合同签订生效后按合同约定施工。并将按</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的规定履行合同责任和义务。</w:t>
      </w:r>
    </w:p>
    <w:p>
      <w:pPr>
        <w:pStyle w:val="8"/>
        <w:pageBreakBefore w:val="0"/>
        <w:kinsoku/>
        <w:wordWrap/>
        <w:overflowPunct/>
        <w:topLinePunct w:val="0"/>
        <w:bidi w:val="0"/>
        <w:adjustRightInd/>
        <w:snapToGrid/>
        <w:spacing w:line="400" w:lineRule="exact"/>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10．如果我们中标，我们将按</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的规定支付中标的有关服务费。</w:t>
      </w:r>
    </w:p>
    <w:p>
      <w:pPr>
        <w:pStyle w:val="8"/>
        <w:pageBreakBefore w:val="0"/>
        <w:kinsoku/>
        <w:wordWrap/>
        <w:overflowPunct/>
        <w:topLinePunct w:val="0"/>
        <w:bidi w:val="0"/>
        <w:adjustRightInd/>
        <w:snapToGrid/>
        <w:spacing w:line="400" w:lineRule="exact"/>
        <w:ind w:left="0" w:leftChars="0" w:right="0" w:rightChars="0" w:firstLine="672" w:firstLineChars="280"/>
        <w:rPr>
          <w:rFonts w:hint="eastAsia" w:ascii="仿宋" w:hAnsi="仿宋" w:eastAsia="仿宋" w:cs="仿宋"/>
          <w:sz w:val="24"/>
          <w:szCs w:val="24"/>
          <w:highlight w:val="none"/>
        </w:rPr>
      </w:pPr>
      <w:r>
        <w:rPr>
          <w:rFonts w:hint="eastAsia" w:ascii="仿宋" w:hAnsi="仿宋" w:eastAsia="仿宋" w:cs="仿宋"/>
          <w:sz w:val="24"/>
          <w:szCs w:val="24"/>
          <w:highlight w:val="none"/>
        </w:rPr>
        <w:t>11.与本次投标有关的一切往来信函请寄：</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地址：                       邮编：</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r>
        <w:rPr>
          <w:rFonts w:hint="eastAsia" w:ascii="仿宋" w:hAnsi="仿宋" w:eastAsia="仿宋" w:cs="仿宋"/>
          <w:sz w:val="24"/>
          <w:szCs w:val="24"/>
          <w:highlight w:val="none"/>
        </w:rPr>
        <w:t>联系人：                     电话：</w:t>
      </w:r>
    </w:p>
    <w:p>
      <w:pPr>
        <w:pStyle w:val="8"/>
        <w:pageBreakBefore w:val="0"/>
        <w:kinsoku/>
        <w:wordWrap/>
        <w:overflowPunct/>
        <w:topLinePunct w:val="0"/>
        <w:bidi w:val="0"/>
        <w:adjustRightInd/>
        <w:snapToGrid/>
        <w:spacing w:line="400" w:lineRule="exact"/>
        <w:ind w:left="0" w:leftChars="0" w:right="0" w:rightChars="0"/>
        <w:rPr>
          <w:rFonts w:hint="eastAsia" w:ascii="仿宋" w:hAnsi="仿宋" w:eastAsia="仿宋" w:cs="仿宋"/>
          <w:sz w:val="24"/>
          <w:szCs w:val="24"/>
          <w:highlight w:val="none"/>
        </w:rPr>
      </w:pP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法人代表或授权代表签字：</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盖</w:t>
      </w:r>
      <w:r>
        <w:rPr>
          <w:rFonts w:hint="eastAsia" w:ascii="仿宋" w:hAnsi="仿宋" w:eastAsia="仿宋" w:cs="仿宋"/>
          <w:sz w:val="24"/>
          <w:szCs w:val="24"/>
          <w:highlight w:val="none"/>
        </w:rPr>
        <w:t>章)</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600" w:firstLineChars="250"/>
        <w:jc w:val="center"/>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磋商响应人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磋商响应人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致： 南通</w:t>
      </w:r>
      <w:r>
        <w:rPr>
          <w:rFonts w:hint="eastAsia" w:ascii="仿宋" w:hAnsi="仿宋" w:eastAsia="仿宋" w:cs="仿宋"/>
          <w:color w:val="000000"/>
          <w:kern w:val="0"/>
          <w:sz w:val="24"/>
          <w:szCs w:val="24"/>
          <w:highlight w:val="none"/>
          <w:lang w:eastAsia="zh-CN"/>
        </w:rPr>
        <w:t>机场集团</w:t>
      </w:r>
      <w:r>
        <w:rPr>
          <w:rFonts w:hint="eastAsia" w:ascii="仿宋" w:hAnsi="仿宋" w:eastAsia="仿宋" w:cs="仿宋"/>
          <w:color w:val="000000"/>
          <w:kern w:val="0"/>
          <w:sz w:val="24"/>
          <w:szCs w:val="24"/>
          <w:highlight w:val="none"/>
        </w:rPr>
        <w:t>有限公司</w:t>
      </w:r>
    </w:p>
    <w:p>
      <w:pPr>
        <w:pStyle w:val="8"/>
        <w:pageBreakBefore w:val="0"/>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我公司自愿参加贵单位</w:t>
      </w:r>
      <w:r>
        <w:rPr>
          <w:rFonts w:hint="eastAsia" w:ascii="仿宋" w:hAnsi="仿宋" w:eastAsia="仿宋" w:cs="仿宋"/>
          <w:sz w:val="24"/>
          <w:szCs w:val="24"/>
          <w:highlight w:val="none"/>
          <w:u w:val="single"/>
          <w:lang w:val="en-US" w:eastAsia="zh-CN"/>
        </w:rPr>
        <w:t>XXXX</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项目的</w:t>
      </w:r>
      <w:r>
        <w:rPr>
          <w:rFonts w:hint="eastAsia" w:ascii="仿宋" w:hAnsi="仿宋" w:eastAsia="仿宋" w:cs="仿宋"/>
          <w:sz w:val="24"/>
          <w:szCs w:val="24"/>
          <w:highlight w:val="none"/>
          <w:lang w:eastAsia="zh-CN"/>
        </w:rPr>
        <w:t>采购活动</w:t>
      </w:r>
      <w:r>
        <w:rPr>
          <w:rFonts w:hint="eastAsia" w:ascii="仿宋" w:hAnsi="仿宋" w:eastAsia="仿宋" w:cs="仿宋"/>
          <w:sz w:val="24"/>
          <w:szCs w:val="24"/>
          <w:highlight w:val="none"/>
        </w:rPr>
        <w:t>，在此我公司承诺：</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根据贵单位（南通</w:t>
      </w:r>
      <w:r>
        <w:rPr>
          <w:rFonts w:hint="eastAsia" w:ascii="仿宋" w:hAnsi="仿宋" w:eastAsia="仿宋" w:cs="仿宋"/>
          <w:sz w:val="24"/>
          <w:szCs w:val="24"/>
          <w:highlight w:val="none"/>
          <w:lang w:eastAsia="zh-CN"/>
        </w:rPr>
        <w:t>机场集团</w:t>
      </w:r>
      <w:r>
        <w:rPr>
          <w:rFonts w:hint="eastAsia" w:ascii="仿宋" w:hAnsi="仿宋" w:eastAsia="仿宋" w:cs="仿宋"/>
          <w:sz w:val="24"/>
          <w:szCs w:val="24"/>
          <w:highlight w:val="none"/>
        </w:rPr>
        <w:t>有限公司）提出的资格审查合格条件标准和要求</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本公司企业财务和经营状况良好，具备履行合同能力</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近三年内无不良经营行为，未处于被责令停业，投标资格被取消或者财产被接管，冻结和破产状态；</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没有因骗取中标或者严重违约以及发生重大质量、安全生产事故等问题，被有关部门暂停投标资格并在暂停期内的</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未被“信用中国”等列入失信被执行人、企业经营异常名录、重大税收违法案件当事人名单、政府采购严重违法失信名单、没有因违反招投标规定被行政处罚且在公示期内</w:t>
      </w:r>
      <w:r>
        <w:rPr>
          <w:rFonts w:hint="eastAsia" w:ascii="仿宋" w:hAnsi="仿宋" w:eastAsia="仿宋" w:cs="仿宋"/>
          <w:sz w:val="24"/>
          <w:szCs w:val="24"/>
          <w:highlight w:val="none"/>
          <w:lang w:eastAsia="zh-CN"/>
        </w:rPr>
        <w:t>；</w:t>
      </w:r>
    </w:p>
    <w:p>
      <w:pPr>
        <w:pStyle w:val="8"/>
        <w:pageBreakBefore w:val="0"/>
        <w:numPr>
          <w:ilvl w:val="0"/>
          <w:numId w:val="2"/>
        </w:numPr>
        <w:kinsoku/>
        <w:wordWrap/>
        <w:overflowPunct/>
        <w:topLinePunct w:val="0"/>
        <w:bidi w:val="0"/>
        <w:adjustRightInd/>
        <w:snapToGrid/>
        <w:spacing w:line="360" w:lineRule="auto"/>
        <w:ind w:left="0" w:leftChars="0" w:right="0" w:rightChars="0" w:firstLine="555"/>
        <w:rPr>
          <w:rFonts w:hint="eastAsia" w:ascii="仿宋" w:hAnsi="仿宋" w:eastAsia="仿宋" w:cs="仿宋"/>
          <w:sz w:val="24"/>
          <w:szCs w:val="24"/>
          <w:highlight w:val="none"/>
        </w:rPr>
      </w:pPr>
      <w:r>
        <w:rPr>
          <w:rFonts w:hint="eastAsia" w:ascii="仿宋" w:hAnsi="仿宋" w:eastAsia="仿宋" w:cs="仿宋"/>
          <w:sz w:val="24"/>
          <w:szCs w:val="24"/>
          <w:highlight w:val="none"/>
        </w:rPr>
        <w:t>本公司递交的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中的内容没有隐瞒、虚假、伪造等弄虚作假行为。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发现我公司有以上行为，贵公司可以拒绝我公司</w:t>
      </w:r>
      <w:r>
        <w:rPr>
          <w:rFonts w:hint="eastAsia" w:ascii="仿宋" w:hAnsi="仿宋" w:eastAsia="仿宋" w:cs="仿宋"/>
          <w:sz w:val="24"/>
          <w:szCs w:val="24"/>
          <w:highlight w:val="none"/>
          <w:lang w:eastAsia="zh-CN"/>
        </w:rPr>
        <w:t>的响应文件</w:t>
      </w:r>
      <w:r>
        <w:rPr>
          <w:rFonts w:hint="eastAsia" w:ascii="仿宋" w:hAnsi="仿宋" w:eastAsia="仿宋" w:cs="仿宋"/>
          <w:sz w:val="24"/>
          <w:szCs w:val="24"/>
          <w:highlight w:val="none"/>
        </w:rPr>
        <w:t>，如已</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，可取消我公司</w:t>
      </w:r>
      <w:r>
        <w:rPr>
          <w:rFonts w:hint="eastAsia" w:ascii="仿宋" w:hAnsi="仿宋" w:eastAsia="仿宋" w:cs="仿宋"/>
          <w:sz w:val="24"/>
          <w:szCs w:val="24"/>
          <w:highlight w:val="none"/>
          <w:lang w:eastAsia="zh-CN"/>
        </w:rPr>
        <w:t>成交</w:t>
      </w:r>
      <w:r>
        <w:rPr>
          <w:rFonts w:hint="eastAsia" w:ascii="仿宋" w:hAnsi="仿宋" w:eastAsia="仿宋" w:cs="仿宋"/>
          <w:sz w:val="24"/>
          <w:szCs w:val="24"/>
          <w:highlight w:val="none"/>
        </w:rPr>
        <w:t>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磋商响应人</w:t>
      </w:r>
      <w:r>
        <w:rPr>
          <w:rFonts w:hint="eastAsia" w:ascii="宋体" w:hAnsi="宋体" w:eastAsia="宋体" w:cs="宋体"/>
          <w:kern w:val="2"/>
          <w:sz w:val="21"/>
          <w:szCs w:val="21"/>
          <w:highlight w:val="none"/>
          <w:lang w:val="en-US" w:eastAsia="zh-CN" w:bidi="ar-SA"/>
        </w:rPr>
        <w:t>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pStyle w:val="4"/>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rPr>
          <w:rFonts w:hint="eastAsia" w:ascii="仿宋" w:hAnsi="仿宋" w:eastAsia="仿宋" w:cs="仿宋"/>
          <w:sz w:val="24"/>
          <w:szCs w:val="24"/>
          <w:highlight w:val="none"/>
          <w:lang w:eastAsia="zh-CN"/>
        </w:rPr>
      </w:pPr>
    </w:p>
    <w:p>
      <w:pP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48"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4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货物名称</w:t>
            </w:r>
          </w:p>
        </w:tc>
        <w:tc>
          <w:tcPr>
            <w:tcW w:w="175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条目号</w:t>
            </w:r>
          </w:p>
        </w:tc>
        <w:tc>
          <w:tcPr>
            <w:tcW w:w="1890" w:type="dxa"/>
            <w:noWrap w:val="0"/>
            <w:vAlign w:val="center"/>
          </w:tcPr>
          <w:p>
            <w:pPr>
              <w:ind w:left="151" w:hanging="172" w:hangingChars="72"/>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招标技术规格</w:t>
            </w:r>
          </w:p>
        </w:tc>
        <w:tc>
          <w:tcPr>
            <w:tcW w:w="1935"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投标技术规格</w:t>
            </w:r>
          </w:p>
        </w:tc>
        <w:tc>
          <w:tcPr>
            <w:tcW w:w="1680"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hint="eastAsia" w:ascii="仿宋" w:hAnsi="仿宋" w:eastAsia="仿宋" w:cs="仿宋"/>
                <w:sz w:val="24"/>
                <w:szCs w:val="24"/>
                <w:highlight w:val="none"/>
              </w:rPr>
            </w:pPr>
          </w:p>
        </w:tc>
        <w:tc>
          <w:tcPr>
            <w:tcW w:w="1741" w:type="dxa"/>
            <w:noWrap w:val="0"/>
            <w:vAlign w:val="top"/>
          </w:tcPr>
          <w:p>
            <w:pPr>
              <w:rPr>
                <w:rFonts w:hint="eastAsia" w:ascii="仿宋" w:hAnsi="仿宋" w:eastAsia="仿宋" w:cs="仿宋"/>
                <w:sz w:val="24"/>
                <w:szCs w:val="24"/>
                <w:highlight w:val="none"/>
              </w:rPr>
            </w:pPr>
          </w:p>
        </w:tc>
        <w:tc>
          <w:tcPr>
            <w:tcW w:w="1756" w:type="dxa"/>
            <w:noWrap w:val="0"/>
            <w:vAlign w:val="top"/>
          </w:tcPr>
          <w:p>
            <w:pPr>
              <w:rPr>
                <w:rFonts w:hint="eastAsia" w:ascii="仿宋" w:hAnsi="仿宋" w:eastAsia="仿宋" w:cs="仿宋"/>
                <w:sz w:val="24"/>
                <w:szCs w:val="24"/>
                <w:highlight w:val="none"/>
              </w:rPr>
            </w:pPr>
          </w:p>
        </w:tc>
        <w:tc>
          <w:tcPr>
            <w:tcW w:w="1890" w:type="dxa"/>
            <w:noWrap w:val="0"/>
            <w:vAlign w:val="top"/>
          </w:tcPr>
          <w:p>
            <w:pPr>
              <w:rPr>
                <w:rFonts w:hint="eastAsia" w:ascii="仿宋" w:hAnsi="仿宋" w:eastAsia="仿宋" w:cs="仿宋"/>
                <w:sz w:val="24"/>
                <w:szCs w:val="24"/>
                <w:highlight w:val="none"/>
              </w:rPr>
            </w:pPr>
          </w:p>
        </w:tc>
        <w:tc>
          <w:tcPr>
            <w:tcW w:w="1935" w:type="dxa"/>
            <w:noWrap w:val="0"/>
            <w:vAlign w:val="top"/>
          </w:tcPr>
          <w:p>
            <w:pPr>
              <w:rPr>
                <w:rFonts w:hint="eastAsia" w:ascii="仿宋" w:hAnsi="仿宋" w:eastAsia="仿宋" w:cs="仿宋"/>
                <w:sz w:val="24"/>
                <w:szCs w:val="24"/>
                <w:highlight w:val="none"/>
              </w:rPr>
            </w:pPr>
          </w:p>
        </w:tc>
        <w:tc>
          <w:tcPr>
            <w:tcW w:w="1680" w:type="dxa"/>
            <w:noWrap w:val="0"/>
            <w:vAlign w:val="top"/>
          </w:tcPr>
          <w:p>
            <w:pP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hint="eastAsia" w:ascii="仿宋" w:hAnsi="仿宋" w:eastAsia="仿宋" w:cs="仿宋"/>
                <w:sz w:val="24"/>
                <w:szCs w:val="24"/>
                <w:highlight w:val="none"/>
              </w:rPr>
            </w:pPr>
          </w:p>
        </w:tc>
        <w:tc>
          <w:tcPr>
            <w:tcW w:w="1741" w:type="dxa"/>
            <w:noWrap w:val="0"/>
            <w:vAlign w:val="top"/>
          </w:tcPr>
          <w:p>
            <w:pPr>
              <w:rPr>
                <w:rFonts w:hint="eastAsia" w:ascii="仿宋" w:hAnsi="仿宋" w:eastAsia="仿宋" w:cs="仿宋"/>
                <w:sz w:val="24"/>
                <w:szCs w:val="24"/>
                <w:highlight w:val="none"/>
              </w:rPr>
            </w:pPr>
          </w:p>
        </w:tc>
        <w:tc>
          <w:tcPr>
            <w:tcW w:w="1756" w:type="dxa"/>
            <w:noWrap w:val="0"/>
            <w:vAlign w:val="top"/>
          </w:tcPr>
          <w:p>
            <w:pPr>
              <w:rPr>
                <w:rFonts w:hint="eastAsia" w:ascii="仿宋" w:hAnsi="仿宋" w:eastAsia="仿宋" w:cs="仿宋"/>
                <w:sz w:val="24"/>
                <w:szCs w:val="24"/>
                <w:highlight w:val="none"/>
              </w:rPr>
            </w:pPr>
          </w:p>
        </w:tc>
        <w:tc>
          <w:tcPr>
            <w:tcW w:w="1890" w:type="dxa"/>
            <w:noWrap w:val="0"/>
            <w:vAlign w:val="top"/>
          </w:tcPr>
          <w:p>
            <w:pPr>
              <w:rPr>
                <w:rFonts w:hint="eastAsia" w:ascii="仿宋" w:hAnsi="仿宋" w:eastAsia="仿宋" w:cs="仿宋"/>
                <w:sz w:val="24"/>
                <w:szCs w:val="24"/>
                <w:highlight w:val="none"/>
              </w:rPr>
            </w:pPr>
          </w:p>
        </w:tc>
        <w:tc>
          <w:tcPr>
            <w:tcW w:w="1935" w:type="dxa"/>
            <w:noWrap w:val="0"/>
            <w:vAlign w:val="top"/>
          </w:tcPr>
          <w:p>
            <w:pPr>
              <w:rPr>
                <w:rFonts w:hint="eastAsia" w:ascii="仿宋" w:hAnsi="仿宋" w:eastAsia="仿宋" w:cs="仿宋"/>
                <w:sz w:val="24"/>
                <w:szCs w:val="24"/>
                <w:highlight w:val="none"/>
              </w:rPr>
            </w:pPr>
          </w:p>
        </w:tc>
        <w:tc>
          <w:tcPr>
            <w:tcW w:w="1680" w:type="dxa"/>
            <w:noWrap w:val="0"/>
            <w:vAlign w:val="top"/>
          </w:tcPr>
          <w:p>
            <w:pPr>
              <w:rPr>
                <w:rFonts w:hint="eastAsia" w:ascii="仿宋" w:hAnsi="仿宋" w:eastAsia="仿宋" w:cs="仿宋"/>
                <w:sz w:val="24"/>
                <w:szCs w:val="24"/>
                <w:highlight w:val="none"/>
              </w:rPr>
            </w:pPr>
          </w:p>
        </w:tc>
      </w:tr>
    </w:tbl>
    <w:p>
      <w:pPr>
        <w:rPr>
          <w:rFonts w:hint="eastAsia" w:ascii="仿宋" w:hAnsi="仿宋" w:eastAsia="仿宋" w:cs="仿宋"/>
          <w:sz w:val="24"/>
          <w:szCs w:val="24"/>
          <w:highlight w:val="none"/>
        </w:rPr>
      </w:pP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（盖章）：</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p>
    <w:p>
      <w:pPr>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ind w:left="630" w:hanging="720" w:hangingChars="300"/>
        <w:rPr>
          <w:rFonts w:hint="eastAsia" w:ascii="仿宋" w:hAnsi="仿宋" w:eastAsia="仿宋" w:cs="仿宋"/>
          <w:sz w:val="24"/>
          <w:szCs w:val="24"/>
          <w:highlight w:val="none"/>
        </w:rPr>
      </w:pPr>
      <w:r>
        <w:rPr>
          <w:rFonts w:hint="eastAsia" w:ascii="仿宋" w:hAnsi="仿宋" w:eastAsia="仿宋" w:cs="仿宋"/>
          <w:sz w:val="24"/>
          <w:szCs w:val="24"/>
          <w:highlight w:val="none"/>
        </w:rPr>
        <w:t>注：1、对本采购文件第三章项目需求</w:t>
      </w:r>
      <w:r>
        <w:rPr>
          <w:rFonts w:hint="eastAsia" w:ascii="仿宋" w:hAnsi="仿宋" w:eastAsia="仿宋" w:cs="仿宋"/>
          <w:sz w:val="24"/>
          <w:szCs w:val="24"/>
          <w:highlight w:val="none"/>
          <w:lang w:eastAsia="zh-CN"/>
        </w:rPr>
        <w:t>中的技术要求逐一</w:t>
      </w:r>
      <w:r>
        <w:rPr>
          <w:rFonts w:hint="eastAsia" w:ascii="仿宋" w:hAnsi="仿宋" w:eastAsia="仿宋" w:cs="仿宋"/>
          <w:sz w:val="24"/>
          <w:szCs w:val="24"/>
          <w:highlight w:val="none"/>
        </w:rPr>
        <w:t>进行响应，而不应以“全部符合”等字样来响应；</w:t>
      </w:r>
    </w:p>
    <w:p>
      <w:pPr>
        <w:pageBreakBefore w:val="0"/>
        <w:kinsoku/>
        <w:wordWrap/>
        <w:overflowPunct/>
        <w:bidi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2、如有偏离情况的（正、负偏离），应逐条列明偏离情况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提供技术证明文件</w:t>
      </w:r>
      <w:r>
        <w:rPr>
          <w:rFonts w:hint="eastAsia" w:ascii="仿宋" w:hAnsi="仿宋" w:eastAsia="仿宋" w:cs="仿宋"/>
          <w:sz w:val="24"/>
          <w:szCs w:val="24"/>
          <w:highlight w:val="none"/>
        </w:rPr>
        <w:t>，并在偏离情况栏内填写“正偏离”或“负偏离”；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3、如</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不符合上述要求，</w:t>
      </w: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将承担其投标被拒绝的风险。</w:t>
      </w:r>
    </w:p>
    <w:p>
      <w:pPr>
        <w:rPr>
          <w:rFonts w:hint="eastAsia" w:ascii="宋体" w:hAnsi="宋体" w:cs="宋体"/>
          <w:b/>
          <w:szCs w:val="21"/>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商务条款偏离表</w:t>
      </w:r>
    </w:p>
    <w:p>
      <w:pPr>
        <w:pageBreakBefore w:val="0"/>
        <w:kinsoku/>
        <w:wordWrap/>
        <w:overflowPunct/>
        <w:topLinePunct w:val="0"/>
        <w:bidi w:val="0"/>
        <w:adjustRightInd/>
        <w:snapToGrid/>
        <w:ind w:left="0" w:leftChars="0" w:right="0" w:rightChars="0"/>
        <w:jc w:val="center"/>
        <w:rPr>
          <w:rFonts w:ascii="宋体"/>
          <w:highlight w:val="none"/>
        </w:rPr>
      </w:pPr>
    </w:p>
    <w:p>
      <w:pPr>
        <w:pageBreakBefore w:val="0"/>
        <w:kinsoku/>
        <w:wordWrap/>
        <w:overflowPunct/>
        <w:topLinePunct w:val="0"/>
        <w:bidi w:val="0"/>
        <w:adjustRightInd/>
        <w:snapToGrid/>
        <w:ind w:left="0" w:leftChars="0" w:right="0" w:rightChars="0" w:firstLine="136" w:firstLineChars="57"/>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44"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磋商文件</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条目号</w:t>
            </w:r>
          </w:p>
        </w:tc>
        <w:tc>
          <w:tcPr>
            <w:tcW w:w="2739"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商务条款</w:t>
            </w:r>
          </w:p>
        </w:tc>
        <w:tc>
          <w:tcPr>
            <w:tcW w:w="2835"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商务条款</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tc>
      </w:tr>
    </w:tbl>
    <w:p>
      <w:pPr>
        <w:pageBreakBefore w:val="0"/>
        <w:kinsoku/>
        <w:wordWrap/>
        <w:overflowPunct/>
        <w:topLinePunct w:val="0"/>
        <w:bidi w:val="0"/>
        <w:adjustRightInd/>
        <w:snapToGrid/>
        <w:ind w:left="0" w:leftChars="0" w:right="0" w:rightChars="0"/>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响应供应商</w:t>
      </w:r>
      <w:r>
        <w:rPr>
          <w:rFonts w:hint="eastAsia" w:ascii="仿宋" w:hAnsi="仿宋" w:eastAsia="仿宋" w:cs="仿宋"/>
          <w:sz w:val="24"/>
          <w:szCs w:val="24"/>
          <w:highlight w:val="none"/>
        </w:rPr>
        <w:t>（盖章）：</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p>
    <w:p>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注：1、对本采购文件第三章项目需求</w:t>
      </w:r>
      <w:r>
        <w:rPr>
          <w:rFonts w:hint="eastAsia" w:ascii="仿宋" w:hAnsi="仿宋" w:eastAsia="仿宋" w:cs="仿宋"/>
          <w:color w:val="auto"/>
          <w:sz w:val="24"/>
          <w:szCs w:val="24"/>
          <w:highlight w:val="none"/>
          <w:lang w:val="en-US" w:eastAsia="zh-CN"/>
        </w:rPr>
        <w:t>中的商务要求</w:t>
      </w:r>
      <w:r>
        <w:rPr>
          <w:rFonts w:hint="eastAsia" w:ascii="仿宋" w:hAnsi="仿宋" w:eastAsia="仿宋" w:cs="仿宋"/>
          <w:color w:val="auto"/>
          <w:sz w:val="24"/>
          <w:szCs w:val="24"/>
          <w:highlight w:val="none"/>
          <w:lang w:eastAsia="zh-CN"/>
        </w:rPr>
        <w:t>、第四章响应文件格式 合同进行响应，如全部响应无偏离的，则提交加盖公章的空白表格；</w:t>
      </w:r>
    </w:p>
    <w:p>
      <w:pPr>
        <w:pageBreakBefore w:val="0"/>
        <w:kinsoku/>
        <w:wordWrap/>
        <w:overflowPunct/>
        <w:bidi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2、如有偏离情况的（正、负偏离），应逐条列明偏离情况，并在偏离情况栏内填写“正偏离”或“负偏离”；</w:t>
      </w:r>
    </w:p>
    <w:p>
      <w:pPr>
        <w:pageBreakBefore w:val="0"/>
        <w:kinsoku/>
        <w:wordWrap/>
        <w:overflowPunct/>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3、如响应文件不符合上述要求，响应供应商将承担其投标被拒绝的风险。</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bCs/>
          <w:kern w:val="0"/>
          <w:sz w:val="36"/>
          <w:szCs w:val="36"/>
          <w:highlight w:val="none"/>
          <w:lang w:val="en-US" w:eastAsia="zh-CN"/>
        </w:rPr>
      </w:pPr>
      <w:r>
        <w:rPr>
          <w:rFonts w:hint="eastAsia" w:ascii="仿宋" w:hAnsi="仿宋" w:eastAsia="仿宋" w:cs="仿宋"/>
          <w:b/>
          <w:bCs/>
          <w:kern w:val="0"/>
          <w:sz w:val="36"/>
          <w:szCs w:val="36"/>
          <w:highlight w:val="none"/>
          <w:lang w:val="en-US" w:eastAsia="zh-CN"/>
        </w:rPr>
        <w:t>附件八：合同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采购合同书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kern w:val="0"/>
          <w:szCs w:val="21"/>
          <w:highlight w:val="none"/>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合同编号：</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同项目编号</w:t>
      </w:r>
      <w:r>
        <w:rPr>
          <w:rFonts w:hint="eastAsia" w:ascii="宋体" w:hAnsi="宋体"/>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甲方（采购方）：</w:t>
      </w:r>
      <w:r>
        <w:rPr>
          <w:rFonts w:hint="eastAsia" w:ascii="宋体" w:hAnsi="宋体"/>
          <w:kern w:val="0"/>
          <w:sz w:val="21"/>
          <w:szCs w:val="21"/>
          <w:highlight w:val="none"/>
          <w:lang w:eastAsia="zh-CN"/>
        </w:rPr>
        <w:t>南通机场</w:t>
      </w:r>
      <w:r>
        <w:rPr>
          <w:rFonts w:hint="eastAsia" w:ascii="宋体" w:hAnsi="宋体"/>
          <w:kern w:val="0"/>
          <w:sz w:val="21"/>
          <w:szCs w:val="21"/>
          <w:highlight w:val="none"/>
          <w:lang w:val="en-US" w:eastAsia="zh-CN"/>
        </w:rPr>
        <w:t>集团</w:t>
      </w:r>
      <w:r>
        <w:rPr>
          <w:rFonts w:hint="eastAsia" w:ascii="宋体" w:hAnsi="宋体"/>
          <w:kern w:val="0"/>
          <w:sz w:val="21"/>
          <w:szCs w:val="21"/>
          <w:highlight w:val="none"/>
          <w:lang w:eastAsia="zh-CN"/>
        </w:rPr>
        <w:t>有限公司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eastAsia="zh-CN"/>
        </w:rPr>
      </w:pPr>
      <w:r>
        <w:rPr>
          <w:rFonts w:hint="eastAsia" w:ascii="宋体" w:hAnsi="宋体"/>
          <w:kern w:val="0"/>
          <w:sz w:val="21"/>
          <w:szCs w:val="21"/>
          <w:highlight w:val="none"/>
          <w:lang w:eastAsia="zh-CN"/>
        </w:rPr>
        <w:t>联系</w:t>
      </w:r>
      <w:r>
        <w:rPr>
          <w:rFonts w:hint="eastAsia" w:ascii="宋体" w:hAnsi="宋体"/>
          <w:kern w:val="0"/>
          <w:sz w:val="21"/>
          <w:szCs w:val="21"/>
          <w:highlight w:val="none"/>
        </w:rPr>
        <w:t xml:space="preserve">人：  </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乙方（供应方）：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联系</w:t>
      </w:r>
      <w:r>
        <w:rPr>
          <w:rFonts w:hint="eastAsia" w:ascii="宋体" w:hAnsi="宋体"/>
          <w:kern w:val="0"/>
          <w:sz w:val="21"/>
          <w:szCs w:val="21"/>
          <w:highlight w:val="none"/>
        </w:rPr>
        <w:t>人：</w:t>
      </w:r>
      <w:r>
        <w:rPr>
          <w:rFonts w:hint="eastAsia" w:ascii="宋体" w:hAnsi="宋体"/>
          <w:kern w:val="0"/>
          <w:sz w:val="21"/>
          <w:szCs w:val="21"/>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cs="仿宋_GB2312"/>
          <w:sz w:val="21"/>
          <w:szCs w:val="21"/>
          <w:highlight w:val="none"/>
          <w:lang w:eastAsia="zh-CN"/>
        </w:rPr>
        <w:t>【填写采购方式】</w:t>
      </w:r>
      <w:r>
        <w:rPr>
          <w:rFonts w:hint="eastAsia" w:ascii="宋体" w:hAnsi="宋体" w:cs="仿宋_GB2312"/>
          <w:sz w:val="21"/>
          <w:szCs w:val="21"/>
          <w:highlight w:val="none"/>
        </w:rPr>
        <w:t xml:space="preserve"> 确定乙方为</w:t>
      </w:r>
      <w:r>
        <w:rPr>
          <w:rFonts w:hint="eastAsia" w:cs="仿宋_GB2312"/>
          <w:sz w:val="21"/>
          <w:szCs w:val="21"/>
          <w:highlight w:val="none"/>
          <w:lang w:eastAsia="zh-CN"/>
        </w:rPr>
        <w:t>【</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r>
        <w:rPr>
          <w:rFonts w:hint="eastAsia" w:ascii="宋体" w:hAnsi="宋体" w:cs="仿宋_GB2312"/>
          <w:sz w:val="21"/>
          <w:szCs w:val="21"/>
          <w:highlight w:val="none"/>
        </w:rPr>
        <w:t>项目的供应商。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w:t>
      </w:r>
      <w:r>
        <w:rPr>
          <w:rFonts w:hint="eastAsia" w:ascii="宋体" w:hAnsi="宋体" w:cs="宋体"/>
          <w:sz w:val="21"/>
          <w:szCs w:val="21"/>
          <w:highlight w:val="none"/>
          <w:lang w:val="en-US" w:eastAsia="zh-CN"/>
        </w:rPr>
        <w:t>民法典</w:t>
      </w:r>
      <w:r>
        <w:rPr>
          <w:rFonts w:hint="eastAsia" w:ascii="宋体" w:hAnsi="宋体" w:cs="宋体"/>
          <w:sz w:val="21"/>
          <w:szCs w:val="21"/>
          <w:highlight w:val="none"/>
          <w:lang w:val="zh-CN"/>
        </w:rPr>
        <w:t>》等相关法律法规之规定以及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b/>
          <w:sz w:val="21"/>
          <w:szCs w:val="21"/>
          <w:highlight w:val="none"/>
        </w:rPr>
      </w:pPr>
      <w:r>
        <w:rPr>
          <w:rFonts w:hint="eastAsia" w:ascii="宋体" w:hAnsi="宋体" w:cs="仿宋_GB2312"/>
          <w:b/>
          <w:sz w:val="21"/>
          <w:szCs w:val="21"/>
          <w:highlight w:val="none"/>
        </w:rPr>
        <w:t>合同标的物和合同价格</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标的物名称：【</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标的物数量：【</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lang w:eastAsia="zh-CN"/>
        </w:rPr>
        <w:t>标的物总价：人民币</w:t>
      </w:r>
      <w:r>
        <w:rPr>
          <w:rFonts w:hint="eastAsia" w:cs="仿宋_GB2312"/>
          <w:sz w:val="21"/>
          <w:szCs w:val="21"/>
          <w:highlight w:val="none"/>
          <w:u w:val="single"/>
          <w:lang w:val="en-US" w:eastAsia="zh-CN"/>
        </w:rPr>
        <w:t>【  】元</w:t>
      </w:r>
      <w:r>
        <w:rPr>
          <w:rFonts w:hint="eastAsia" w:cs="仿宋_GB2312"/>
          <w:sz w:val="21"/>
          <w:szCs w:val="21"/>
          <w:highlight w:val="none"/>
          <w:lang w:val="en-US" w:eastAsia="zh-CN"/>
        </w:rPr>
        <w:t>（RMB：  ）</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标的物</w:t>
      </w:r>
      <w:r>
        <w:rPr>
          <w:rFonts w:hint="eastAsia"/>
          <w:sz w:val="21"/>
          <w:szCs w:val="21"/>
          <w:highlight w:val="none"/>
        </w:rPr>
        <w:t>、设计费</w:t>
      </w:r>
      <w:r>
        <w:rPr>
          <w:rFonts w:hint="eastAsia"/>
          <w:sz w:val="21"/>
          <w:szCs w:val="21"/>
          <w:highlight w:val="none"/>
          <w:lang w:eastAsia="zh-CN"/>
        </w:rPr>
        <w:t>，</w:t>
      </w:r>
      <w:r>
        <w:rPr>
          <w:rFonts w:hint="eastAsia"/>
          <w:sz w:val="21"/>
          <w:szCs w:val="21"/>
          <w:highlight w:val="none"/>
        </w:rPr>
        <w:t>以及附（配）件、包装、运输、安装、调试、保险、设备保管、易损易耗件、工具、检验检测费、恢复等交付使用前的一切费用</w:t>
      </w:r>
      <w:r>
        <w:rPr>
          <w:rFonts w:hint="eastAsia" w:cs="仿宋_GB2312"/>
          <w:sz w:val="21"/>
          <w:szCs w:val="21"/>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标的物交付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ascii="宋体" w:hAnsi="宋体"/>
          <w:sz w:val="21"/>
          <w:szCs w:val="21"/>
          <w:highlight w:val="none"/>
        </w:rPr>
        <w:t>交货日期：合同签订后</w:t>
      </w:r>
      <w:r>
        <w:rPr>
          <w:rFonts w:hint="eastAsia" w:ascii="宋体" w:hAnsi="宋体"/>
          <w:sz w:val="21"/>
          <w:szCs w:val="21"/>
          <w:highlight w:val="none"/>
          <w:u w:val="single"/>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lang w:eastAsia="zh-CN"/>
        </w:rPr>
        <w:t>】</w:t>
      </w:r>
      <w:r>
        <w:rPr>
          <w:rFonts w:hint="eastAsia" w:ascii="宋体" w:hAnsi="宋体"/>
          <w:sz w:val="21"/>
          <w:szCs w:val="21"/>
          <w:highlight w:val="none"/>
          <w:u w:val="single"/>
        </w:rPr>
        <w:t xml:space="preserve"> </w:t>
      </w:r>
      <w:r>
        <w:rPr>
          <w:rFonts w:hint="eastAsia" w:ascii="宋体" w:hAnsi="宋体"/>
          <w:sz w:val="21"/>
          <w:szCs w:val="21"/>
          <w:highlight w:val="none"/>
        </w:rPr>
        <w:t>天交货并安装调试完毕。</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交付地点：</w:t>
      </w:r>
      <w:r>
        <w:rPr>
          <w:rFonts w:hint="eastAsia" w:cs="仿宋_GB2312"/>
          <w:sz w:val="21"/>
          <w:szCs w:val="21"/>
          <w:highlight w:val="none"/>
          <w:lang w:eastAsia="zh-CN"/>
        </w:rPr>
        <w:t>兴东国际机场</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技术规范</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highlight w:val="none"/>
          <w:u w:val="single"/>
        </w:rPr>
      </w:pPr>
      <w:r>
        <w:rPr>
          <w:rFonts w:cs="仿宋_GB2312"/>
          <w:sz w:val="21"/>
          <w:szCs w:val="21"/>
          <w:highlight w:val="none"/>
        </w:rPr>
        <w:t>所</w:t>
      </w:r>
      <w:r>
        <w:rPr>
          <w:rFonts w:hint="eastAsia" w:cs="仿宋_GB2312"/>
          <w:sz w:val="21"/>
          <w:szCs w:val="21"/>
          <w:highlight w:val="none"/>
        </w:rPr>
        <w:t>提供货物</w:t>
      </w:r>
      <w:r>
        <w:rPr>
          <w:rFonts w:cs="仿宋_GB2312"/>
          <w:sz w:val="21"/>
          <w:szCs w:val="21"/>
          <w:highlight w:val="none"/>
        </w:rPr>
        <w:t>的生产</w:t>
      </w:r>
      <w:r>
        <w:rPr>
          <w:sz w:val="21"/>
          <w:szCs w:val="21"/>
          <w:highlight w:val="none"/>
        </w:rPr>
        <w:t>、制造、安装等各项技术标准</w:t>
      </w:r>
      <w:r>
        <w:rPr>
          <w:rFonts w:hint="eastAsia"/>
          <w:sz w:val="21"/>
          <w:szCs w:val="21"/>
          <w:highlight w:val="none"/>
        </w:rPr>
        <w:t>，</w:t>
      </w:r>
      <w:r>
        <w:rPr>
          <w:sz w:val="21"/>
          <w:szCs w:val="21"/>
          <w:highlight w:val="none"/>
        </w:rPr>
        <w:t>应当符合国家（强制性）标准、各项规范要求</w:t>
      </w:r>
      <w:r>
        <w:rPr>
          <w:rFonts w:hint="eastAsia"/>
          <w:sz w:val="21"/>
          <w:szCs w:val="21"/>
          <w:highlight w:val="none"/>
        </w:rPr>
        <w:t>；</w:t>
      </w:r>
      <w:r>
        <w:rPr>
          <w:sz w:val="21"/>
          <w:szCs w:val="21"/>
          <w:highlight w:val="none"/>
        </w:rPr>
        <w:t>国家没有相应标准、规范的，可使用行业标准、规定</w:t>
      </w:r>
      <w:r>
        <w:rPr>
          <w:rFonts w:hint="eastAsia"/>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iCs/>
          <w:sz w:val="21"/>
          <w:szCs w:val="21"/>
          <w:highlight w:val="none"/>
          <w:u w:val="single"/>
        </w:rPr>
      </w:pPr>
      <w:r>
        <w:rPr>
          <w:rFonts w:hint="eastAsia"/>
          <w:sz w:val="21"/>
          <w:szCs w:val="21"/>
          <w:highlight w:val="none"/>
          <w:lang w:eastAsia="zh-CN"/>
        </w:rPr>
        <w:t>乙方提供和交付的货物规格应和甲方提出的要求及乙方响应文件的规格要求一致。</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质量要求</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cs="仿宋_GB2312"/>
          <w:sz w:val="21"/>
          <w:szCs w:val="21"/>
          <w:highlight w:val="none"/>
        </w:rPr>
        <w:t>所</w:t>
      </w:r>
      <w:r>
        <w:rPr>
          <w:rFonts w:hint="eastAsia" w:cs="仿宋_GB2312"/>
          <w:sz w:val="21"/>
          <w:szCs w:val="21"/>
          <w:highlight w:val="none"/>
        </w:rPr>
        <w:t>提供货物</w:t>
      </w:r>
      <w:r>
        <w:rPr>
          <w:rFonts w:hint="eastAsia" w:cs="仿宋_GB2312"/>
          <w:sz w:val="21"/>
          <w:szCs w:val="21"/>
          <w:highlight w:val="none"/>
          <w:lang w:val="en-US" w:eastAsia="zh-CN"/>
        </w:rPr>
        <w:t>必须</w:t>
      </w:r>
      <w:r>
        <w:rPr>
          <w:rFonts w:hint="eastAsia" w:cs="仿宋_GB2312"/>
          <w:sz w:val="21"/>
          <w:szCs w:val="21"/>
          <w:highlight w:val="none"/>
        </w:rPr>
        <w:t>是全新的、未使用过的、原包装未拆封的商品，</w:t>
      </w:r>
      <w:r>
        <w:rPr>
          <w:rFonts w:hint="eastAsia" w:cs="仿宋_GB2312"/>
          <w:sz w:val="21"/>
          <w:szCs w:val="21"/>
          <w:highlight w:val="none"/>
          <w:lang w:val="en-US" w:eastAsia="zh-CN"/>
        </w:rPr>
        <w:t>且</w:t>
      </w:r>
      <w:r>
        <w:rPr>
          <w:rFonts w:hint="eastAsia" w:cs="仿宋_GB2312"/>
          <w:sz w:val="21"/>
          <w:szCs w:val="21"/>
          <w:highlight w:val="none"/>
        </w:rPr>
        <w:t>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乙方应保证所提供货物涉及到的知识产权是合法取得，并享有完整的知识产权，不会因为甲方的使用而被责令停止使用、追偿或要求赔偿损失，如出现此情况，一切经济和法律责任均由乙方承担。</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验收标准：乙方提供的货物必须符合我国最新颁布的与之相关的技术规范与标准，同时必须满足谈判文件中所列规格、具体配置、技术条件及功能要求和乙方承诺的其它指标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在交货时必须原包装现场拆封验收，由甲方以及乙方共同对标的物的质量、规格、性能、数量、外观、随机备件备品、装箱单、随机资料、包装等进行详细而全面的检验</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甲方根据合同规定的内容和验收标准进行验收，同时比较乙方出具的检验证明，经检验无误后出具</w:t>
      </w:r>
      <w:r>
        <w:rPr>
          <w:rFonts w:hint="eastAsia" w:cs="仿宋_GB2312"/>
          <w:sz w:val="21"/>
          <w:szCs w:val="21"/>
          <w:highlight w:val="none"/>
          <w:lang w:eastAsia="zh-CN"/>
        </w:rPr>
        <w:t>货物</w:t>
      </w:r>
      <w:r>
        <w:rPr>
          <w:rFonts w:hint="eastAsia" w:cs="仿宋_GB2312"/>
          <w:sz w:val="21"/>
          <w:szCs w:val="21"/>
          <w:highlight w:val="non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作为最终付款所需文件的组成部分。如双方对验收结</w:t>
      </w:r>
      <w:r>
        <w:rPr>
          <w:rFonts w:hint="eastAsia"/>
          <w:sz w:val="21"/>
          <w:szCs w:val="21"/>
          <w:highlight w:val="none"/>
        </w:rPr>
        <w:t>果有分歧，则以第三方权威机构的检验结果为准，检验费由有过失的一方支付。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shd w:val="clear" w:color="FFFFFF" w:fill="D9D9D9"/>
        </w:rPr>
      </w:pPr>
      <w:r>
        <w:rPr>
          <w:rFonts w:hint="eastAsia" w:cs="仿宋_GB2312"/>
          <w:sz w:val="21"/>
          <w:szCs w:val="21"/>
          <w:highlight w:val="none"/>
          <w:shd w:val="clear" w:color="auto" w:fill="auto"/>
        </w:rPr>
        <w:t>根据甲方检验的结果或当地技监部门的检验结果，如果标的物的数量、质量或规格与合同不符或证实标的物是具有缺陷的，包括潜在缺陷或使用不符合要求的材料等，甲方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rPr>
        <w:t>甲方有权根据当地产品质量检验机构或其他有权部门出具的检验证书</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，并要求乙方承担相应的违约责任。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验收期限在安装调试结束</w:t>
      </w:r>
      <w:r>
        <w:rPr>
          <w:rFonts w:cs="仿宋_GB2312"/>
          <w:sz w:val="21"/>
          <w:szCs w:val="21"/>
          <w:highlight w:val="none"/>
        </w:rPr>
        <w:t>30</w:t>
      </w:r>
      <w:r>
        <w:rPr>
          <w:rFonts w:hint="eastAsia" w:cs="仿宋_GB2312"/>
          <w:sz w:val="21"/>
          <w:szCs w:val="21"/>
          <w:highlight w:val="none"/>
        </w:rPr>
        <w:t>个工作日内进行。特殊情况需延长的，双方应特别约定。</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合同价格支付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支付步骤</w:t>
      </w:r>
      <w:r>
        <w:rPr>
          <w:rFonts w:hint="eastAsia"/>
          <w:sz w:val="21"/>
          <w:szCs w:val="21"/>
          <w:highlight w:val="none"/>
        </w:rPr>
        <w:t>：</w:t>
      </w:r>
      <w:r>
        <w:rPr>
          <w:rFonts w:hint="eastAsia"/>
          <w:sz w:val="21"/>
          <w:szCs w:val="21"/>
          <w:highlight w:val="none"/>
          <w:lang w:eastAsia="zh-CN"/>
        </w:rPr>
        <w:t>【</w:t>
      </w:r>
      <w:r>
        <w:rPr>
          <w:rFonts w:hint="eastAsia"/>
          <w:sz w:val="21"/>
          <w:szCs w:val="21"/>
          <w:highlight w:val="none"/>
        </w:rPr>
        <w:t>合同签订后，</w:t>
      </w:r>
      <w:r>
        <w:rPr>
          <w:rFonts w:hint="eastAsia" w:ascii="宋体" w:hAnsi="宋体" w:cs="宋体"/>
          <w:sz w:val="21"/>
          <w:szCs w:val="21"/>
          <w:highlight w:val="none"/>
          <w:lang w:val="zh-CN"/>
        </w:rPr>
        <w:t>设备全部安装、调试完毕，经甲方验收合格后甲方支付合同金额的</w:t>
      </w:r>
      <w:r>
        <w:rPr>
          <w:rFonts w:hint="eastAsia" w:ascii="宋体" w:hAnsi="宋体" w:cs="宋体"/>
          <w:sz w:val="21"/>
          <w:szCs w:val="21"/>
          <w:highlight w:val="none"/>
          <w:lang w:val="en-US" w:eastAsia="zh-CN"/>
        </w:rPr>
        <w:t>100%】</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乙方要求付款应提供以下资料：</w:t>
      </w:r>
    </w:p>
    <w:p>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货物</w:t>
      </w:r>
      <w:r>
        <w:rPr>
          <w:rFonts w:hint="eastAsia" w:cs="仿宋_GB2312"/>
          <w:sz w:val="21"/>
          <w:szCs w:val="21"/>
          <w:highlight w:val="none"/>
        </w:rPr>
        <w:t>验收</w:t>
      </w:r>
      <w:r>
        <w:rPr>
          <w:rFonts w:hint="eastAsia" w:cs="仿宋_GB2312"/>
          <w:sz w:val="21"/>
          <w:szCs w:val="21"/>
          <w:highlight w:val="none"/>
          <w:lang w:eastAsia="zh-CN"/>
        </w:rPr>
        <w:t>交接单</w:t>
      </w:r>
      <w:r>
        <w:rPr>
          <w:rFonts w:hint="eastAsia" w:cs="仿宋_GB2312"/>
          <w:sz w:val="21"/>
          <w:szCs w:val="21"/>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highlight w:val="none"/>
          <w:lang w:val="en-US" w:eastAsia="zh-CN"/>
        </w:rPr>
      </w:pPr>
      <w:r>
        <w:rPr>
          <w:rFonts w:hint="eastAsia" w:cs="仿宋_GB2312"/>
          <w:sz w:val="21"/>
          <w:szCs w:val="21"/>
          <w:highlight w:val="none"/>
        </w:rPr>
        <w:t>支付方式：</w:t>
      </w:r>
      <w:r>
        <w:rPr>
          <w:rFonts w:hint="eastAsia" w:cs="仿宋_GB2312"/>
          <w:sz w:val="21"/>
          <w:szCs w:val="21"/>
          <w:highlight w:val="none"/>
          <w:lang w:eastAsia="zh-CN"/>
        </w:rPr>
        <w:t>【</w:t>
      </w:r>
      <w:r>
        <w:rPr>
          <w:rFonts w:hint="eastAsia" w:cs="仿宋_GB2312"/>
          <w:sz w:val="21"/>
          <w:szCs w:val="21"/>
          <w:highlight w:val="none"/>
          <w:lang w:val="en-US" w:eastAsia="zh-CN"/>
        </w:rPr>
        <w:t xml:space="preserve">       </w:t>
      </w:r>
      <w:r>
        <w:rPr>
          <w:rFonts w:hint="eastAsia" w:cs="仿宋_GB2312"/>
          <w:sz w:val="21"/>
          <w:szCs w:val="21"/>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eastAsia="宋体" w:cs="仿宋_GB2312"/>
          <w:sz w:val="21"/>
          <w:szCs w:val="21"/>
          <w:highlight w:val="none"/>
          <w:lang w:val="en-US" w:eastAsia="zh-CN"/>
        </w:rPr>
      </w:pPr>
      <w:r>
        <w:rPr>
          <w:rFonts w:hint="eastAsia" w:cs="仿宋_GB2312"/>
          <w:sz w:val="21"/>
          <w:szCs w:val="21"/>
          <w:highlight w:val="none"/>
          <w:lang w:eastAsia="zh-CN"/>
        </w:rPr>
        <w:t>履约保证金：签订合同前，乙方需交【</w:t>
      </w:r>
      <w:r>
        <w:rPr>
          <w:rFonts w:hint="eastAsia" w:cs="仿宋_GB2312"/>
          <w:sz w:val="21"/>
          <w:szCs w:val="21"/>
          <w:highlight w:val="none"/>
          <w:lang w:val="en-US" w:eastAsia="zh-CN"/>
        </w:rPr>
        <w:t xml:space="preserve">  </w:t>
      </w:r>
      <w:r>
        <w:rPr>
          <w:rFonts w:hint="eastAsia" w:cs="仿宋_GB2312"/>
          <w:sz w:val="21"/>
          <w:szCs w:val="21"/>
          <w:highlight w:val="none"/>
          <w:lang w:eastAsia="zh-CN"/>
        </w:rPr>
        <w:t>】元履约保证金，合同期内无服务质量问题，合同期满无息归还履约保证金。</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售后服务</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kern w:val="0"/>
          <w:sz w:val="21"/>
          <w:szCs w:val="21"/>
          <w:highlight w:val="none"/>
        </w:rPr>
        <w:t>除</w:t>
      </w:r>
      <w:r>
        <w:rPr>
          <w:rFonts w:hint="eastAsia" w:ascii="宋体" w:hAnsi="宋体" w:cs="仿宋_GB2312"/>
          <w:sz w:val="21"/>
          <w:szCs w:val="21"/>
          <w:highlight w:val="none"/>
        </w:rPr>
        <w:t>特别约定外，合同条款中标的物的质量保证期均自标的物通过最终验收之日起计算，且质量保证期为乙方承诺期限，乙方承诺对本项目提供</w:t>
      </w:r>
      <w:r>
        <w:rPr>
          <w:rFonts w:hint="eastAsia" w:ascii="宋体" w:hAnsi="宋体" w:cs="仿宋_GB2312"/>
          <w:sz w:val="21"/>
          <w:szCs w:val="21"/>
          <w:highlight w:val="none"/>
          <w:u w:val="single"/>
          <w:lang w:val="en-US" w:eastAsia="zh-CN"/>
        </w:rPr>
        <w:t>【  】</w:t>
      </w:r>
      <w:r>
        <w:rPr>
          <w:rFonts w:hint="eastAsia" w:ascii="宋体" w:hAnsi="宋体" w:cs="仿宋_GB2312"/>
          <w:sz w:val="21"/>
          <w:szCs w:val="21"/>
          <w:highlight w:val="none"/>
        </w:rPr>
        <w:t>的免费保修</w:t>
      </w:r>
      <w:r>
        <w:rPr>
          <w:rFonts w:hint="eastAsia" w:ascii="宋体" w:hAnsi="宋体" w:cs="仿宋_GB2312"/>
          <w:sz w:val="21"/>
          <w:szCs w:val="21"/>
          <w:highlight w:val="none"/>
          <w:lang w:val="en-US" w:eastAsia="zh-CN"/>
        </w:rPr>
        <w:t>期</w:t>
      </w:r>
      <w:r>
        <w:rPr>
          <w:rFonts w:hint="eastAsia" w:ascii="宋体" w:hAnsi="宋体" w:cs="仿宋_GB2312"/>
          <w:sz w:val="21"/>
          <w:szCs w:val="21"/>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乙方应以优良的服务态度，具备7X24小时远程支持能力，必须2小时内响应，采购方如有需求，需在1.5小时内赶赴现场，24小时内完成采购方提出的售后要求，如需更换或送修需在2个工作日内完成。</w:t>
      </w:r>
      <w:r>
        <w:rPr>
          <w:rFonts w:hint="eastAsia" w:ascii="宋体" w:hAnsi="宋体" w:cs="仿宋_GB2312"/>
          <w:sz w:val="21"/>
          <w:szCs w:val="21"/>
          <w:highlight w:val="none"/>
          <w:lang w:val="en-US" w:eastAsia="zh-CN"/>
        </w:rPr>
        <w:t>售后服务联系人【   】；</w:t>
      </w:r>
      <w:r>
        <w:rPr>
          <w:rFonts w:hint="eastAsia" w:ascii="宋体" w:hAnsi="宋体" w:cs="仿宋_GB2312"/>
          <w:sz w:val="21"/>
          <w:szCs w:val="21"/>
          <w:highlight w:val="none"/>
          <w:lang w:eastAsia="zh-CN"/>
        </w:rPr>
        <w:t>售后服务电话</w:t>
      </w:r>
      <w:r>
        <w:rPr>
          <w:rFonts w:hint="eastAsia" w:ascii="宋体" w:hAnsi="宋体" w:cs="仿宋_GB2312"/>
          <w:sz w:val="21"/>
          <w:szCs w:val="21"/>
          <w:highlight w:val="none"/>
          <w:u w:val="single"/>
          <w:lang w:val="en-US" w:eastAsia="zh-CN"/>
        </w:rPr>
        <w:t xml:space="preserve"> 【  】。</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lang w:eastAsia="zh-CN"/>
        </w:rPr>
        <w:t>乙方</w:t>
      </w:r>
      <w:r>
        <w:rPr>
          <w:rFonts w:hint="eastAsia" w:ascii="宋体" w:hAnsi="宋体" w:cs="仿宋_GB2312"/>
          <w:sz w:val="21"/>
          <w:szCs w:val="21"/>
          <w:highlight w:val="none"/>
          <w:lang w:val="en-US" w:eastAsia="zh-CN"/>
        </w:rPr>
        <w:t>须</w:t>
      </w:r>
      <w:r>
        <w:rPr>
          <w:rFonts w:hint="eastAsia" w:ascii="宋体" w:hAnsi="宋体" w:cs="仿宋_GB2312"/>
          <w:sz w:val="21"/>
          <w:szCs w:val="21"/>
          <w:highlight w:val="none"/>
          <w:lang w:eastAsia="zh-CN"/>
        </w:rPr>
        <w:t>对甲方设备操作人员进行免费培训。</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cs="仿宋_GB2312"/>
          <w:sz w:val="21"/>
          <w:szCs w:val="21"/>
          <w:highlight w:val="none"/>
        </w:rPr>
        <w:t>其它按乙方</w:t>
      </w:r>
      <w:r>
        <w:rPr>
          <w:rFonts w:hint="eastAsia" w:ascii="宋体" w:hAnsi="宋体"/>
          <w:kern w:val="0"/>
          <w:sz w:val="21"/>
          <w:szCs w:val="21"/>
          <w:highlight w:val="none"/>
        </w:rPr>
        <w:t>响应文件及相关承诺中等同或优于谈判文件的要求执行。</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违约责任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ascii="宋体" w:hAnsi="宋体" w:cs="仿宋_GB2312"/>
          <w:sz w:val="21"/>
          <w:szCs w:val="21"/>
          <w:highlight w:val="none"/>
        </w:rPr>
        <w:t>甲方违约责任及违约金支付：</w:t>
      </w:r>
      <w:r>
        <w:rPr>
          <w:rFonts w:hint="eastAsia" w:ascii="宋体" w:hAnsi="宋体"/>
          <w:sz w:val="21"/>
          <w:szCs w:val="21"/>
          <w:highlight w:val="none"/>
        </w:rPr>
        <w:t>在</w:t>
      </w:r>
      <w:r>
        <w:rPr>
          <w:rFonts w:hint="eastAsia" w:ascii="宋体" w:hAnsi="宋体" w:cs="仿宋_GB2312"/>
          <w:sz w:val="21"/>
          <w:szCs w:val="21"/>
          <w:highlight w:val="none"/>
        </w:rPr>
        <w:t>合同生效后，甲方无理由要求退货的，应向乙方偿付合同总价款的5%，作为违约金，违约金不足以补偿损失的，乙方有权要求甲方补足。甲方逾期付款的应按照逾期付款金额的每天万分之四支付逾期付款违约金。甲方</w:t>
      </w:r>
      <w:r>
        <w:rPr>
          <w:rFonts w:hint="eastAsia" w:ascii="宋体" w:hAnsi="宋体"/>
          <w:sz w:val="21"/>
          <w:szCs w:val="21"/>
          <w:highlight w:val="none"/>
        </w:rPr>
        <w:t>违反合同规定，拒绝接受乙方交付的合格标的物，应当承担乙方由此造成的损失</w:t>
      </w:r>
      <w:r>
        <w:rPr>
          <w:rFonts w:hint="eastAsia" w:ascii="宋体" w:hAnsi="宋体" w:cs="仿宋_GB2312"/>
          <w:sz w:val="21"/>
          <w:szCs w:val="21"/>
          <w:highlight w:val="none"/>
        </w:rPr>
        <w:t>：</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ascii="宋体" w:hAnsi="宋体"/>
          <w:sz w:val="21"/>
          <w:szCs w:val="21"/>
          <w:highlight w:val="none"/>
        </w:rPr>
      </w:pPr>
      <w:r>
        <w:rPr>
          <w:rFonts w:hint="eastAsia" w:ascii="宋体" w:hAnsi="宋体" w:cs="仿宋_GB2312"/>
          <w:sz w:val="21"/>
          <w:szCs w:val="21"/>
          <w:highlight w:val="none"/>
          <w:lang w:val="en-US" w:eastAsia="zh-CN"/>
        </w:rPr>
        <w:t>8.2</w:t>
      </w:r>
      <w:r>
        <w:rPr>
          <w:rFonts w:hint="eastAsia" w:ascii="宋体" w:hAnsi="宋体" w:cs="仿宋_GB2312"/>
          <w:sz w:val="21"/>
          <w:szCs w:val="21"/>
          <w:highlight w:val="none"/>
        </w:rPr>
        <w:t>乙方违约责任及违约金支付：乙方不能交货</w:t>
      </w:r>
      <w:r>
        <w:rPr>
          <w:rFonts w:hint="eastAsia" w:ascii="宋体" w:hAnsi="宋体"/>
          <w:sz w:val="21"/>
          <w:szCs w:val="21"/>
          <w:highlight w:val="none"/>
        </w:rPr>
        <w:t>（逾期超过十五天视为不能交货），或交货不合格从而影响甲方按期正常使用的，应向甲方偿付合同总价款5%的违约金，违约金不足以补偿损失的甲方有权要求乙方补足。</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sz w:val="21"/>
          <w:szCs w:val="21"/>
          <w:highlight w:val="none"/>
        </w:rPr>
      </w:pPr>
      <w:r>
        <w:rPr>
          <w:rFonts w:hint="eastAsia" w:ascii="宋体" w:hAnsi="宋体" w:cs="仿宋_GB2312"/>
          <w:sz w:val="21"/>
          <w:szCs w:val="21"/>
          <w:highlight w:val="none"/>
          <w:lang w:val="en-US" w:eastAsia="zh-CN"/>
        </w:rPr>
        <w:t>8.3</w:t>
      </w:r>
      <w:r>
        <w:rPr>
          <w:rFonts w:hint="eastAsia" w:ascii="宋体" w:hAnsi="宋体" w:cs="仿宋_GB2312"/>
          <w:sz w:val="21"/>
          <w:szCs w:val="21"/>
          <w:highlight w:val="none"/>
        </w:rPr>
        <w:t>乙方逾期交货的</w:t>
      </w:r>
      <w:r>
        <w:rPr>
          <w:rFonts w:hint="eastAsia" w:ascii="宋体" w:hAnsi="宋体"/>
          <w:sz w:val="21"/>
          <w:szCs w:val="21"/>
          <w:highlight w:val="none"/>
        </w:rPr>
        <w:t>，应在发货前与甲方协商，甲方仍需求的，乙方应立即发货并应按照逾期交货部分货款的每天</w:t>
      </w:r>
      <w:r>
        <w:rPr>
          <w:rFonts w:hint="eastAsia"/>
          <w:sz w:val="21"/>
          <w:szCs w:val="21"/>
          <w:highlight w:val="none"/>
        </w:rPr>
        <w:t>万分之四支付逾期交货违约金，同时承担甲方因此遭致的损失费用。</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sz w:val="21"/>
          <w:szCs w:val="21"/>
          <w:highlight w:val="none"/>
          <w:lang w:eastAsia="zh-CN"/>
        </w:rPr>
      </w:pPr>
      <w:r>
        <w:rPr>
          <w:rFonts w:hint="eastAsia"/>
          <w:sz w:val="21"/>
          <w:szCs w:val="21"/>
          <w:highlight w:val="none"/>
          <w:lang w:val="en-US" w:eastAsia="zh-CN"/>
        </w:rPr>
        <w:t>8.4</w:t>
      </w: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default" w:eastAsia="宋体"/>
          <w:sz w:val="21"/>
          <w:szCs w:val="21"/>
          <w:highlight w:val="none"/>
          <w:lang w:val="en-US" w:eastAsia="zh-CN"/>
        </w:rPr>
      </w:pP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lang w:eastAsia="zh-CN"/>
        </w:rPr>
        <w:t>廉政责任</w:t>
      </w:r>
    </w:p>
    <w:p>
      <w:pPr>
        <w:keepNext w:val="0"/>
        <w:keepLines w:val="0"/>
        <w:pageBreakBefore w:val="0"/>
        <w:widowControl w:val="0"/>
        <w:numPr>
          <w:ilvl w:val="1"/>
          <w:numId w:val="3"/>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ascii="宋体" w:hAnsi="宋体"/>
          <w:sz w:val="21"/>
          <w:szCs w:val="21"/>
          <w:highlight w:val="none"/>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仿宋_GB2312"/>
          <w:b/>
          <w:sz w:val="21"/>
          <w:szCs w:val="21"/>
          <w:highlight w:val="none"/>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处分或组织处理；涉嫌犯罪的，移交司法机关追究刑事责任；给承包人单位造成经济损失的，应予以赔偿。</w:t>
      </w:r>
    </w:p>
    <w:p>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sz w:val="21"/>
          <w:szCs w:val="21"/>
          <w:highlight w:val="none"/>
        </w:rPr>
      </w:pPr>
      <w:r>
        <w:rPr>
          <w:rFonts w:hint="eastAsia" w:ascii="宋体" w:hAnsi="宋体"/>
          <w:sz w:val="21"/>
          <w:szCs w:val="21"/>
          <w:highlight w:val="none"/>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保密责任与义务</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10.1 </w:t>
      </w:r>
      <w:r>
        <w:rPr>
          <w:rFonts w:hint="eastAsia" w:ascii="宋体" w:hAnsi="宋体" w:eastAsia="宋体" w:cs="宋体"/>
          <w:sz w:val="21"/>
          <w:szCs w:val="21"/>
          <w:highlight w:val="none"/>
        </w:rPr>
        <w:t>乙方对本合同内容以及在本合同讨论、签订、履行过程中获悉的甲方的尚未公开的情报、资料和数据等信息（无论该等信息采取口头、书面、电子数据、图像或其他任何载体方式，以下称“保密信息”）予以保密。凡涉及执行本合同所需一切资料均为甲方的保密资料，属于保密范围，除非经甲方书面同意才可作为例外。</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10.2 </w:t>
      </w:r>
      <w:r>
        <w:rPr>
          <w:rFonts w:hint="eastAsia" w:ascii="宋体" w:hAnsi="宋体" w:eastAsia="宋体" w:cs="宋体"/>
          <w:sz w:val="21"/>
          <w:szCs w:val="21"/>
          <w:highlight w:val="none"/>
        </w:rPr>
        <w:t>未经甲方事先的书面许可，乙方不得直接或间接向任何第三方（包括非参与本项目的员工）以任何方式提供或泄露保密信息，亦不得将保密信息用于本合同之外的任何其他用途。</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10.3 </w:t>
      </w:r>
      <w:r>
        <w:rPr>
          <w:rFonts w:hint="eastAsia" w:ascii="宋体" w:hAnsi="宋体" w:eastAsia="宋体" w:cs="宋体"/>
          <w:sz w:val="21"/>
          <w:szCs w:val="21"/>
          <w:highlight w:val="none"/>
        </w:rPr>
        <w:t xml:space="preserve">乙方应确保相关参与人员严格遵守保密义务及相关法律法规，乙方人员违反保密规则的，乙方应承担违约责任。 </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10.4</w:t>
      </w:r>
      <w:r>
        <w:rPr>
          <w:rFonts w:hint="eastAsia" w:ascii="宋体" w:hAnsi="宋体" w:eastAsia="宋体" w:cs="宋体"/>
          <w:sz w:val="21"/>
          <w:szCs w:val="21"/>
          <w:highlight w:val="none"/>
        </w:rPr>
        <w:t>乙方违反保密义务的，应向甲方支付违约金【1】万元，前述违约金不足以弥补甲方损失的，甲方有权向乙方索赔。乙方应当赔偿甲方因此遭受的一切损失，该损失包括但不限于直接损失、可预期利益损失、诉讼费、律师费、差旅费以及其他相关的费用。乙方触犯保密法律法规，乙方应自行承担全部法律责任。</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10.5 </w:t>
      </w:r>
      <w:r>
        <w:rPr>
          <w:rFonts w:hint="eastAsia" w:ascii="宋体" w:hAnsi="宋体" w:eastAsia="宋体" w:cs="宋体"/>
          <w:sz w:val="21"/>
          <w:szCs w:val="21"/>
          <w:highlight w:val="none"/>
        </w:rPr>
        <w:t>保密期限：</w:t>
      </w:r>
    </w:p>
    <w:p>
      <w:pPr>
        <w:pStyle w:val="2"/>
        <w:ind w:left="0" w:leftChars="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乙方应对上述保密范围所约定的内容承担保密义务。自本项目开始日始至本项目约定的信息不再保密止。</w:t>
      </w:r>
    </w:p>
    <w:p>
      <w:pPr>
        <w:pStyle w:val="2"/>
        <w:ind w:left="0" w:leftChars="0" w:firstLine="0" w:firstLineChars="0"/>
        <w:rPr>
          <w:rFonts w:hint="eastAsia"/>
          <w:highlight w:val="none"/>
        </w:rPr>
      </w:pP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索赔</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shd w:val="clear" w:color="auto" w:fill="auto"/>
        </w:rPr>
      </w:pPr>
      <w:r>
        <w:rPr>
          <w:rFonts w:hint="eastAsia" w:cs="仿宋_GB2312"/>
          <w:sz w:val="21"/>
          <w:szCs w:val="21"/>
          <w:highlight w:val="none"/>
          <w:shd w:val="clear" w:color="auto" w:fill="auto"/>
        </w:rPr>
        <w:t>在本合同规定的检验期限和质量保证期内，如果乙方对甲方提出的索赔或差异有责任，则乙方应按甲方同意的下列一种或多种方式解决索赔事宜：</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 xml:space="preserve">11.2 </w:t>
      </w:r>
      <w:r>
        <w:rPr>
          <w:rFonts w:hint="eastAsia" w:cs="仿宋_GB2312"/>
          <w:sz w:val="21"/>
          <w:szCs w:val="21"/>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rPr>
        <w:t>根据标的物的低劣程度、损坏程度以及甲方遭受损失的数额，经双方协商确定降低的物的价格。</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 xml:space="preserve">11.3 </w:t>
      </w:r>
      <w:r>
        <w:rPr>
          <w:rFonts w:hint="eastAsia" w:cs="仿宋_GB2312"/>
          <w:sz w:val="21"/>
          <w:szCs w:val="21"/>
          <w:highlight w:val="none"/>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240" w:lineRule="auto"/>
        <w:ind w:leftChars="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 xml:space="preserve">11.4 </w:t>
      </w:r>
      <w:r>
        <w:rPr>
          <w:rFonts w:hint="eastAsia" w:cs="仿宋_GB2312"/>
          <w:sz w:val="21"/>
          <w:szCs w:val="21"/>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合同的解除</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有下列情形之一，合同一方可以解除合同：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11.1.1</w:t>
      </w:r>
      <w:r>
        <w:rPr>
          <w:rFonts w:hint="eastAsia" w:cs="仿宋_GB2312"/>
          <w:sz w:val="21"/>
          <w:szCs w:val="21"/>
          <w:highlight w:val="none"/>
        </w:rPr>
        <w:t>因不可抗力致使不能实现合同目的，未受不可抗力影响的一方有权解除合同；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11.1.2</w:t>
      </w:r>
      <w:r>
        <w:rPr>
          <w:rFonts w:hint="eastAsia" w:cs="仿宋_GB2312"/>
          <w:sz w:val="21"/>
          <w:szCs w:val="21"/>
          <w:highlight w:val="none"/>
        </w:rPr>
        <w:t>因合同一方违约导致合同不能履行</w:t>
      </w:r>
      <w:r>
        <w:rPr>
          <w:rFonts w:hint="eastAsia" w:cs="仿宋_GB2312"/>
          <w:sz w:val="21"/>
          <w:szCs w:val="21"/>
          <w:highlight w:val="none"/>
          <w:lang w:val="en-US" w:eastAsia="zh-CN"/>
        </w:rPr>
        <w:t>的</w:t>
      </w:r>
      <w:r>
        <w:rPr>
          <w:rFonts w:hint="eastAsia" w:cs="仿宋_GB2312"/>
          <w:sz w:val="21"/>
          <w:szCs w:val="21"/>
          <w:highlight w:val="none"/>
        </w:rPr>
        <w:t>，另一方有权解除合同。</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有权解除合同的一方，应当在违约事实或不可抗力发生之后三十天内书面通知对方以主张解除合同，合同在书面通知到达对方时解除。</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争议解决办法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不可抗力</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sz w:val="21"/>
          <w:szCs w:val="21"/>
          <w:highlight w:val="none"/>
        </w:rPr>
        <w:t>因不</w:t>
      </w:r>
      <w:r>
        <w:rPr>
          <w:rFonts w:hint="eastAsia" w:cs="仿宋_GB2312"/>
          <w:sz w:val="21"/>
          <w:szCs w:val="21"/>
          <w:highlight w:val="none"/>
        </w:rPr>
        <w:t>可抗力不能履行合同的，根据不可抗力的影响，部分或者全部免除责任。但合同一方延迟履行后发生不可抗力的，不能免除责任。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sz w:val="21"/>
          <w:szCs w:val="21"/>
          <w:highlight w:val="none"/>
        </w:rPr>
      </w:pPr>
      <w:r>
        <w:rPr>
          <w:rFonts w:hint="eastAsia" w:cs="仿宋_GB2312"/>
          <w:sz w:val="21"/>
          <w:szCs w:val="21"/>
          <w:highlight w:val="none"/>
        </w:rPr>
        <w:t>合同一方因不可抗力不能履行合同的，应当及时通知对方，以减轻可能给对方造成的损失，并应当在合理期限内</w:t>
      </w:r>
      <w:r>
        <w:rPr>
          <w:rFonts w:hint="eastAsia"/>
          <w:sz w:val="21"/>
          <w:szCs w:val="21"/>
          <w:highlight w:val="none"/>
        </w:rPr>
        <w:t>提供证明。</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cs="仿宋_GB2312"/>
          <w:b/>
          <w:sz w:val="21"/>
          <w:szCs w:val="21"/>
          <w:highlight w:val="none"/>
        </w:rPr>
      </w:pPr>
      <w:r>
        <w:rPr>
          <w:rFonts w:hint="eastAsia" w:cs="仿宋_GB2312"/>
          <w:b/>
          <w:sz w:val="21"/>
          <w:szCs w:val="21"/>
          <w:highlight w:val="none"/>
        </w:rPr>
        <w:t>合同生效及其他</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本合同经双方法定（授权）代表人签字（或盖章）并盖单位公章（合同章）后生效。</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sz w:val="21"/>
          <w:szCs w:val="21"/>
          <w:highlight w:val="none"/>
        </w:rPr>
      </w:pPr>
      <w:r>
        <w:rPr>
          <w:rFonts w:hint="eastAsia" w:cs="仿宋_GB2312"/>
          <w:sz w:val="21"/>
          <w:szCs w:val="21"/>
          <w:highlight w:val="none"/>
        </w:rPr>
        <w:t>下列文件为本合同不可分割部分</w:t>
      </w:r>
      <w:r>
        <w:rPr>
          <w:rFonts w:hint="eastAsia"/>
          <w:sz w:val="21"/>
          <w:szCs w:val="21"/>
          <w:highlight w:val="none"/>
        </w:rPr>
        <w:t>：</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14.2.1</w:t>
      </w:r>
      <w:r>
        <w:rPr>
          <w:rFonts w:hint="eastAsia" w:cs="仿宋_GB2312"/>
          <w:sz w:val="21"/>
          <w:szCs w:val="21"/>
          <w:highlight w:val="none"/>
        </w:rPr>
        <w:t>乙方的响应文件；</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240" w:lineRule="auto"/>
        <w:ind w:leftChars="200" w:right="0" w:rightChars="0"/>
        <w:jc w:val="left"/>
        <w:textAlignment w:val="auto"/>
        <w:rPr>
          <w:rFonts w:hint="eastAsia" w:cs="仿宋_GB2312"/>
          <w:sz w:val="21"/>
          <w:szCs w:val="21"/>
          <w:highlight w:val="none"/>
        </w:rPr>
      </w:pPr>
      <w:r>
        <w:rPr>
          <w:rFonts w:hint="eastAsia" w:cs="仿宋_GB2312"/>
          <w:sz w:val="21"/>
          <w:szCs w:val="21"/>
          <w:highlight w:val="none"/>
          <w:lang w:val="en-US" w:eastAsia="zh-CN"/>
        </w:rPr>
        <w:t>14.2.2</w:t>
      </w:r>
      <w:r>
        <w:rPr>
          <w:rFonts w:hint="eastAsia" w:cs="仿宋_GB2312"/>
          <w:sz w:val="21"/>
          <w:szCs w:val="21"/>
          <w:highlight w:val="none"/>
        </w:rPr>
        <w:t>乙方在招投标过程</w:t>
      </w:r>
      <w:r>
        <w:rPr>
          <w:rFonts w:hint="eastAsia"/>
          <w:sz w:val="21"/>
          <w:szCs w:val="21"/>
          <w:highlight w:val="none"/>
        </w:rPr>
        <w:t>中所作的其他承诺、声明、书面澄清等。</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cs="仿宋_GB2312"/>
          <w:sz w:val="21"/>
          <w:szCs w:val="21"/>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 w:val="21"/>
          <w:szCs w:val="21"/>
          <w:highlight w:val="none"/>
        </w:rPr>
      </w:pPr>
      <w:r>
        <w:rPr>
          <w:rFonts w:hint="eastAsia" w:cs="仿宋_GB2312"/>
          <w:sz w:val="21"/>
          <w:szCs w:val="21"/>
          <w:highlight w:val="none"/>
        </w:rPr>
        <w:t>本合同一式</w:t>
      </w:r>
      <w:r>
        <w:rPr>
          <w:rFonts w:hint="eastAsia" w:cs="仿宋_GB2312"/>
          <w:sz w:val="21"/>
          <w:szCs w:val="21"/>
          <w:highlight w:val="none"/>
          <w:u w:val="single"/>
          <w:lang w:eastAsia="zh-CN"/>
        </w:rPr>
        <w:t>【</w:t>
      </w:r>
      <w:r>
        <w:rPr>
          <w:rFonts w:hint="eastAsia" w:cs="仿宋_GB2312"/>
          <w:sz w:val="21"/>
          <w:szCs w:val="21"/>
          <w:highlight w:val="none"/>
          <w:u w:val="single"/>
          <w:lang w:val="en-US" w:eastAsia="zh-CN"/>
        </w:rPr>
        <w:t xml:space="preserve"> </w:t>
      </w:r>
      <w:r>
        <w:rPr>
          <w:rFonts w:hint="eastAsia" w:cs="仿宋_GB2312"/>
          <w:sz w:val="21"/>
          <w:szCs w:val="21"/>
          <w:highlight w:val="none"/>
          <w:u w:val="single"/>
          <w:lang w:eastAsia="zh-CN"/>
        </w:rPr>
        <w:t>】</w:t>
      </w:r>
      <w:r>
        <w:rPr>
          <w:rFonts w:hint="eastAsia" w:cs="仿宋_GB2312"/>
          <w:sz w:val="21"/>
          <w:szCs w:val="21"/>
          <w:highlight w:val="none"/>
        </w:rPr>
        <w:t>份，甲</w:t>
      </w:r>
      <w:r>
        <w:rPr>
          <w:rFonts w:hint="eastAsia" w:cs="仿宋_GB2312"/>
          <w:sz w:val="21"/>
          <w:szCs w:val="21"/>
          <w:highlight w:val="none"/>
          <w:lang w:eastAsia="zh-CN"/>
        </w:rPr>
        <w:t>方执【</w:t>
      </w:r>
      <w:r>
        <w:rPr>
          <w:rFonts w:hint="eastAsia" w:cs="仿宋_GB2312"/>
          <w:sz w:val="21"/>
          <w:szCs w:val="21"/>
          <w:highlight w:val="none"/>
          <w:lang w:val="en-US" w:eastAsia="zh-CN"/>
        </w:rPr>
        <w:t xml:space="preserve"> </w:t>
      </w:r>
      <w:r>
        <w:rPr>
          <w:rFonts w:hint="eastAsia" w:cs="仿宋_GB2312"/>
          <w:sz w:val="21"/>
          <w:szCs w:val="21"/>
          <w:highlight w:val="none"/>
          <w:lang w:eastAsia="zh-CN"/>
        </w:rPr>
        <w:t>】份</w:t>
      </w:r>
      <w:r>
        <w:rPr>
          <w:rFonts w:hint="eastAsia" w:cs="仿宋_GB2312"/>
          <w:sz w:val="21"/>
          <w:szCs w:val="21"/>
          <w:highlight w:val="none"/>
        </w:rPr>
        <w:t>、乙方执</w:t>
      </w:r>
      <w:r>
        <w:rPr>
          <w:rFonts w:hint="eastAsia" w:cs="仿宋_GB2312"/>
          <w:sz w:val="21"/>
          <w:szCs w:val="21"/>
          <w:highlight w:val="none"/>
          <w:lang w:val="en-US" w:eastAsia="zh-CN"/>
        </w:rPr>
        <w:t>壹</w:t>
      </w:r>
      <w:r>
        <w:rPr>
          <w:rFonts w:hint="eastAsia" w:cs="仿宋_GB2312"/>
          <w:sz w:val="21"/>
          <w:szCs w:val="21"/>
          <w:highlight w:val="none"/>
        </w:rPr>
        <w:t>份</w:t>
      </w:r>
      <w:r>
        <w:rPr>
          <w:rFonts w:hint="eastAsia" w:cs="仿宋_GB2312"/>
          <w:sz w:val="21"/>
          <w:szCs w:val="21"/>
          <w:highlight w:val="none"/>
          <w:lang w:eastAsia="zh-CN"/>
        </w:rPr>
        <w:t>，每份具有同等效力</w:t>
      </w:r>
      <w:r>
        <w:rPr>
          <w:rFonts w:hint="eastAsia" w:cs="仿宋_GB2312"/>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r>
        <w:rPr>
          <w:rFonts w:hint="eastAsia" w:ascii="宋体" w:hAnsi="宋体" w:cs="仿宋_GB2312"/>
          <w:szCs w:val="21"/>
          <w:highlight w:val="none"/>
          <w:lang w:eastAsia="zh-CN"/>
        </w:rPr>
        <w:t>（以下无正文，为签字页）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tbl>
      <w:tblPr>
        <w:tblStyle w:val="12"/>
        <w:tblW w:w="0" w:type="auto"/>
        <w:jc w:val="center"/>
        <w:tblLayout w:type="fixed"/>
        <w:tblCellMar>
          <w:top w:w="0" w:type="dxa"/>
          <w:left w:w="108" w:type="dxa"/>
          <w:bottom w:w="0" w:type="dxa"/>
          <w:right w:w="108" w:type="dxa"/>
        </w:tblCellMar>
      </w:tblPr>
      <w:tblGrid>
        <w:gridCol w:w="5409"/>
        <w:gridCol w:w="4551"/>
      </w:tblGrid>
      <w:tr>
        <w:tblPrEx>
          <w:tblCellMar>
            <w:top w:w="0" w:type="dxa"/>
            <w:left w:w="108" w:type="dxa"/>
            <w:bottom w:w="0" w:type="dxa"/>
            <w:right w:w="108" w:type="dxa"/>
          </w:tblCellMar>
        </w:tblPrEx>
        <w:trPr>
          <w:trHeight w:val="1233"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eastAsia="zh-CN"/>
              </w:rPr>
              <w:t>南通机场</w:t>
            </w:r>
            <w:r>
              <w:rPr>
                <w:rFonts w:hint="eastAsia" w:ascii="宋体" w:hAnsi="宋体" w:cs="仿宋_GB2312"/>
                <w:szCs w:val="21"/>
                <w:highlight w:val="none"/>
                <w:lang w:val="en-US" w:eastAsia="zh-CN"/>
              </w:rPr>
              <w:t>集团</w:t>
            </w:r>
            <w:r>
              <w:rPr>
                <w:rFonts w:hint="eastAsia" w:ascii="宋体" w:hAnsi="宋体" w:cs="仿宋_GB2312"/>
                <w:szCs w:val="21"/>
                <w:highlight w:val="none"/>
                <w:lang w:eastAsia="zh-CN"/>
              </w:rPr>
              <w:t>有限公司</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olor w:val="000000"/>
          <w:kern w:val="0"/>
          <w:szCs w:val="21"/>
          <w:highlight w:val="none"/>
        </w:rPr>
      </w:pPr>
      <w:r>
        <w:rPr>
          <w:rFonts w:hint="eastAsia" w:ascii="宋体" w:hAnsi="宋体"/>
          <w:color w:val="000000"/>
          <w:kern w:val="0"/>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tbl>
      <w:tblPr>
        <w:tblStyle w:val="12"/>
        <w:tblW w:w="0" w:type="auto"/>
        <w:tblInd w:w="0" w:type="dxa"/>
        <w:tblLayout w:type="fixed"/>
        <w:tblCellMar>
          <w:top w:w="0" w:type="dxa"/>
          <w:left w:w="0" w:type="dxa"/>
          <w:bottom w:w="0" w:type="dxa"/>
          <w:right w:w="0" w:type="dxa"/>
        </w:tblCellMar>
      </w:tblPr>
      <w:tblGrid>
        <w:gridCol w:w="1190"/>
        <w:gridCol w:w="1830"/>
        <w:gridCol w:w="1093"/>
        <w:gridCol w:w="745"/>
        <w:gridCol w:w="1175"/>
        <w:gridCol w:w="745"/>
        <w:gridCol w:w="745"/>
        <w:gridCol w:w="1030"/>
        <w:gridCol w:w="1245"/>
      </w:tblGrid>
      <w:tr>
        <w:tblPrEx>
          <w:tblCellMar>
            <w:top w:w="0" w:type="dxa"/>
            <w:left w:w="0" w:type="dxa"/>
            <w:bottom w:w="0" w:type="dxa"/>
            <w:right w:w="0" w:type="dxa"/>
          </w:tblCellMar>
        </w:tblPrEx>
        <w:trPr>
          <w:trHeight w:val="800" w:hRule="atLeast"/>
        </w:trPr>
        <w:tc>
          <w:tcPr>
            <w:tcW w:w="979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附件一</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设备验收交接单</w:t>
            </w:r>
          </w:p>
        </w:tc>
      </w:tr>
      <w:tr>
        <w:tblPrEx>
          <w:tblCellMar>
            <w:top w:w="0" w:type="dxa"/>
            <w:left w:w="0" w:type="dxa"/>
            <w:bottom w:w="0" w:type="dxa"/>
            <w:right w:w="0" w:type="dxa"/>
          </w:tblCellMar>
        </w:tblPrEx>
        <w:trPr>
          <w:trHeight w:val="50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668"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668" w:type="dxa"/>
            <w:gridSpan w:val="3"/>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376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设备名称</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生产商</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数量</w:t>
            </w: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单价（元）</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金额（元）</w:t>
            </w: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677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9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37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技术参数</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设备品牌</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设备外观</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设备数量</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备件配件</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专用工具</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文档资料</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trPr>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设备试行</w:t>
            </w: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1160" w:hRule="atLeast"/>
        </w:trPr>
        <w:tc>
          <w:tcPr>
            <w:tcW w:w="11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860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30" w:hRule="atLeast"/>
        </w:trPr>
        <w:tc>
          <w:tcPr>
            <w:tcW w:w="11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66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940"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2340" w:hRule="atLeast"/>
        </w:trPr>
        <w:tc>
          <w:tcPr>
            <w:tcW w:w="11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6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供货负责人：</w:t>
            </w:r>
          </w:p>
          <w:p>
            <w:pPr>
              <w:pStyle w:val="2"/>
              <w:rPr>
                <w:rFonts w:hint="eastAsia"/>
                <w:highlight w:val="none"/>
                <w:lang w:val="en-US" w:eastAsia="zh-CN"/>
              </w:rPr>
            </w:pPr>
          </w:p>
          <w:p>
            <w:pPr>
              <w:pStyle w:val="2"/>
              <w:rPr>
                <w:rFonts w:hint="eastAsia"/>
                <w:highlight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9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p>
          <w:p>
            <w:pPr>
              <w:pStyle w:val="2"/>
              <w:rPr>
                <w:rFonts w:hint="eastAsia"/>
                <w:highlight w:val="none"/>
                <w:lang w:val="en-US" w:eastAsia="zh-CN"/>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验收负责人：</w:t>
            </w: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p>
          <w:p>
            <w:pPr>
              <w:pStyle w:val="2"/>
              <w:rPr>
                <w:rFonts w:hint="eastAsia"/>
                <w:highlight w:val="none"/>
                <w:lang w:val="en-US" w:eastAsia="zh-CN"/>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trPr>
        <w:tc>
          <w:tcPr>
            <w:tcW w:w="9798" w:type="dxa"/>
            <w:gridSpan w:val="9"/>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宋体" w:cs="宋体"/>
          <w:color w:val="000000"/>
          <w:kern w:val="0"/>
          <w:sz w:val="21"/>
          <w:szCs w:val="21"/>
          <w:highlight w:val="none"/>
        </w:rPr>
      </w:pPr>
    </w:p>
    <w:p>
      <w:pPr>
        <w:rPr>
          <w:rFonts w:hint="eastAsia"/>
          <w:highlight w:val="none"/>
        </w:rPr>
      </w:pPr>
    </w:p>
    <w:p>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24"/>
          <w:szCs w:val="24"/>
          <w:highlight w:val="none"/>
          <w:lang w:eastAsia="zh-CN"/>
        </w:rPr>
      </w:pPr>
    </w:p>
    <w:p>
      <w:pPr>
        <w:pageBreakBefore w:val="0"/>
        <w:kinsoku/>
        <w:wordWrap/>
        <w:overflowPunct/>
        <w:topLinePunct w:val="0"/>
        <w:bidi w:val="0"/>
        <w:adjustRightInd/>
        <w:snapToGrid/>
        <w:ind w:left="0" w:leftChars="0" w:right="0" w:rightChars="0"/>
        <w:rPr>
          <w:rFonts w:hint="eastAsia" w:ascii="仿宋" w:hAnsi="仿宋" w:eastAsia="仿宋" w:cs="仿宋"/>
          <w:b/>
          <w:bCs/>
          <w:color w:val="FF0000"/>
          <w:sz w:val="32"/>
          <w:szCs w:val="32"/>
          <w:highlight w:val="none"/>
          <w:lang w:eastAsia="zh-CN"/>
        </w:rPr>
      </w:pPr>
      <w:r>
        <w:rPr>
          <w:rFonts w:hint="eastAsia" w:ascii="仿宋" w:hAnsi="仿宋" w:eastAsia="仿宋" w:cs="仿宋"/>
          <w:b/>
          <w:bCs/>
          <w:color w:val="FF0000"/>
          <w:sz w:val="32"/>
          <w:szCs w:val="32"/>
          <w:highlight w:val="none"/>
          <w:lang w:eastAsia="zh-CN"/>
        </w:rPr>
        <w:t>其他格式请响应供应商自拟</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rPr>
          <w:highlight w:val="none"/>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58583"/>
    <w:multiLevelType w:val="singleLevel"/>
    <w:tmpl w:val="A4658583"/>
    <w:lvl w:ilvl="0" w:tentative="0">
      <w:start w:val="2"/>
      <w:numFmt w:val="chineseCounting"/>
      <w:suff w:val="nothing"/>
      <w:lvlText w:val="%1、"/>
      <w:lvlJc w:val="left"/>
      <w:rPr>
        <w:rFonts w:hint="eastAsia"/>
      </w:rPr>
    </w:lvl>
  </w:abstractNum>
  <w:abstractNum w:abstractNumId="1">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2">
    <w:nsid w:val="11923D21"/>
    <w:multiLevelType w:val="multilevel"/>
    <w:tmpl w:val="11923D21"/>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9F9E59A"/>
    <w:multiLevelType w:val="singleLevel"/>
    <w:tmpl w:val="69F9E59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DkwZDFmNmQ0ZDUwZjY5MmUzYmIxNmY2YWZiMmEifQ=="/>
    <w:docVar w:name="KSO_WPS_MARK_KEY" w:val="52bc92cb-8654-4692-ae3c-bc088791fb4b"/>
  </w:docVars>
  <w:rsids>
    <w:rsidRoot w:val="5D1C47BC"/>
    <w:rsid w:val="018E7169"/>
    <w:rsid w:val="02BA21E0"/>
    <w:rsid w:val="03914CEF"/>
    <w:rsid w:val="04E64942"/>
    <w:rsid w:val="053310E2"/>
    <w:rsid w:val="0699038A"/>
    <w:rsid w:val="06B144F8"/>
    <w:rsid w:val="06E0142D"/>
    <w:rsid w:val="07550729"/>
    <w:rsid w:val="084542FA"/>
    <w:rsid w:val="099A0675"/>
    <w:rsid w:val="0A273CBB"/>
    <w:rsid w:val="0AD60006"/>
    <w:rsid w:val="0B3A2110"/>
    <w:rsid w:val="0B8C77A9"/>
    <w:rsid w:val="0CC86893"/>
    <w:rsid w:val="0DCE04B7"/>
    <w:rsid w:val="0E7A6BAF"/>
    <w:rsid w:val="0EA0672E"/>
    <w:rsid w:val="10C55145"/>
    <w:rsid w:val="10EA3C90"/>
    <w:rsid w:val="111908F5"/>
    <w:rsid w:val="111927C8"/>
    <w:rsid w:val="11755C50"/>
    <w:rsid w:val="117619C8"/>
    <w:rsid w:val="13294F44"/>
    <w:rsid w:val="141C55A3"/>
    <w:rsid w:val="14F87796"/>
    <w:rsid w:val="15097A8D"/>
    <w:rsid w:val="152E4D98"/>
    <w:rsid w:val="17487963"/>
    <w:rsid w:val="175207E1"/>
    <w:rsid w:val="17822E75"/>
    <w:rsid w:val="188C0921"/>
    <w:rsid w:val="18955D8E"/>
    <w:rsid w:val="18E216F1"/>
    <w:rsid w:val="1946311D"/>
    <w:rsid w:val="196F43D6"/>
    <w:rsid w:val="19F16090"/>
    <w:rsid w:val="1A7016AA"/>
    <w:rsid w:val="1AF00AD0"/>
    <w:rsid w:val="1BBA4792"/>
    <w:rsid w:val="1C1142AB"/>
    <w:rsid w:val="1D0B1216"/>
    <w:rsid w:val="1D484219"/>
    <w:rsid w:val="1D4A4FD4"/>
    <w:rsid w:val="1E54699B"/>
    <w:rsid w:val="1F686DF4"/>
    <w:rsid w:val="1FD8244E"/>
    <w:rsid w:val="215D225D"/>
    <w:rsid w:val="21AE3C43"/>
    <w:rsid w:val="22237002"/>
    <w:rsid w:val="22456F79"/>
    <w:rsid w:val="228D0920"/>
    <w:rsid w:val="22F2312F"/>
    <w:rsid w:val="22F95FB5"/>
    <w:rsid w:val="23922838"/>
    <w:rsid w:val="250E5D48"/>
    <w:rsid w:val="26AC3A6A"/>
    <w:rsid w:val="2720680E"/>
    <w:rsid w:val="27764078"/>
    <w:rsid w:val="279B6D94"/>
    <w:rsid w:val="28463A4A"/>
    <w:rsid w:val="28D161B6"/>
    <w:rsid w:val="292F2731"/>
    <w:rsid w:val="29C42E79"/>
    <w:rsid w:val="29D137E8"/>
    <w:rsid w:val="2AA52384"/>
    <w:rsid w:val="2AF04EFB"/>
    <w:rsid w:val="2B430715"/>
    <w:rsid w:val="2BF81500"/>
    <w:rsid w:val="2C7C3EDF"/>
    <w:rsid w:val="2D0D2D89"/>
    <w:rsid w:val="2D3D250B"/>
    <w:rsid w:val="2D3F7B01"/>
    <w:rsid w:val="2D840D3F"/>
    <w:rsid w:val="2D9173B5"/>
    <w:rsid w:val="2E770969"/>
    <w:rsid w:val="2E9848D4"/>
    <w:rsid w:val="2FCC21FD"/>
    <w:rsid w:val="2FFF10AF"/>
    <w:rsid w:val="323446FA"/>
    <w:rsid w:val="326B7E18"/>
    <w:rsid w:val="32BF4E5A"/>
    <w:rsid w:val="32D23ADB"/>
    <w:rsid w:val="34192013"/>
    <w:rsid w:val="348C4974"/>
    <w:rsid w:val="34FA7EFA"/>
    <w:rsid w:val="35FF438E"/>
    <w:rsid w:val="364C1591"/>
    <w:rsid w:val="367479D5"/>
    <w:rsid w:val="36DB3EF8"/>
    <w:rsid w:val="37D20E57"/>
    <w:rsid w:val="383F10B5"/>
    <w:rsid w:val="385664A3"/>
    <w:rsid w:val="392500A7"/>
    <w:rsid w:val="3A4C4426"/>
    <w:rsid w:val="3A694C29"/>
    <w:rsid w:val="3B3C308E"/>
    <w:rsid w:val="3C6F162B"/>
    <w:rsid w:val="3C904A1E"/>
    <w:rsid w:val="3CA32DC2"/>
    <w:rsid w:val="3D766728"/>
    <w:rsid w:val="3DA863C5"/>
    <w:rsid w:val="3DEE124B"/>
    <w:rsid w:val="3DF446EF"/>
    <w:rsid w:val="3DF6163A"/>
    <w:rsid w:val="3E8760C3"/>
    <w:rsid w:val="3EE85404"/>
    <w:rsid w:val="3F52287D"/>
    <w:rsid w:val="3FE756BB"/>
    <w:rsid w:val="40842F0A"/>
    <w:rsid w:val="40BE230F"/>
    <w:rsid w:val="425A4979"/>
    <w:rsid w:val="42703354"/>
    <w:rsid w:val="428C42F8"/>
    <w:rsid w:val="42D54AEF"/>
    <w:rsid w:val="43EE526A"/>
    <w:rsid w:val="443D1D4E"/>
    <w:rsid w:val="44BD4C3D"/>
    <w:rsid w:val="44CF10B4"/>
    <w:rsid w:val="462C02CC"/>
    <w:rsid w:val="465C5383"/>
    <w:rsid w:val="46BA7686"/>
    <w:rsid w:val="46ED486F"/>
    <w:rsid w:val="487F366E"/>
    <w:rsid w:val="48DE1728"/>
    <w:rsid w:val="48E704DA"/>
    <w:rsid w:val="49156DF5"/>
    <w:rsid w:val="496E0566"/>
    <w:rsid w:val="4991295F"/>
    <w:rsid w:val="49C760B9"/>
    <w:rsid w:val="4AEB2170"/>
    <w:rsid w:val="4B4048E2"/>
    <w:rsid w:val="4C1A0AE0"/>
    <w:rsid w:val="4CDD5E7C"/>
    <w:rsid w:val="4D3161C8"/>
    <w:rsid w:val="4ED355A0"/>
    <w:rsid w:val="4EFE032C"/>
    <w:rsid w:val="4F7A3E56"/>
    <w:rsid w:val="504306EC"/>
    <w:rsid w:val="50D43FAF"/>
    <w:rsid w:val="512F0C70"/>
    <w:rsid w:val="517843C5"/>
    <w:rsid w:val="51EE0B2B"/>
    <w:rsid w:val="52AD6B4F"/>
    <w:rsid w:val="53037746"/>
    <w:rsid w:val="53095C1D"/>
    <w:rsid w:val="534872B8"/>
    <w:rsid w:val="54A13C33"/>
    <w:rsid w:val="556C4241"/>
    <w:rsid w:val="55B91D34"/>
    <w:rsid w:val="55C2323E"/>
    <w:rsid w:val="55FA184D"/>
    <w:rsid w:val="5635234D"/>
    <w:rsid w:val="56C24F33"/>
    <w:rsid w:val="56E00BDE"/>
    <w:rsid w:val="56EF3C74"/>
    <w:rsid w:val="57144B90"/>
    <w:rsid w:val="581B1F4E"/>
    <w:rsid w:val="583A1D13"/>
    <w:rsid w:val="597178AC"/>
    <w:rsid w:val="5A696FA1"/>
    <w:rsid w:val="5B310008"/>
    <w:rsid w:val="5D1C47BC"/>
    <w:rsid w:val="5D21506C"/>
    <w:rsid w:val="5D287680"/>
    <w:rsid w:val="5EAE07E6"/>
    <w:rsid w:val="5EDB649E"/>
    <w:rsid w:val="5FD650D9"/>
    <w:rsid w:val="608B2761"/>
    <w:rsid w:val="60956D42"/>
    <w:rsid w:val="609B3C2C"/>
    <w:rsid w:val="60BA5D81"/>
    <w:rsid w:val="60CC05C6"/>
    <w:rsid w:val="60E6088C"/>
    <w:rsid w:val="61F23D20"/>
    <w:rsid w:val="63F83144"/>
    <w:rsid w:val="64AD3F2E"/>
    <w:rsid w:val="65A45331"/>
    <w:rsid w:val="66036F85"/>
    <w:rsid w:val="66D41C46"/>
    <w:rsid w:val="67423054"/>
    <w:rsid w:val="675E41E3"/>
    <w:rsid w:val="677D0530"/>
    <w:rsid w:val="67D50A60"/>
    <w:rsid w:val="68A456BA"/>
    <w:rsid w:val="68CA6CAA"/>
    <w:rsid w:val="695E2765"/>
    <w:rsid w:val="6B8846B5"/>
    <w:rsid w:val="6C44161C"/>
    <w:rsid w:val="6C7B1F22"/>
    <w:rsid w:val="6CAD5413"/>
    <w:rsid w:val="6CDE22C8"/>
    <w:rsid w:val="6CE96D26"/>
    <w:rsid w:val="6D5924DA"/>
    <w:rsid w:val="6E1A7B90"/>
    <w:rsid w:val="6E6B7334"/>
    <w:rsid w:val="6EEC3AB1"/>
    <w:rsid w:val="6EF235B1"/>
    <w:rsid w:val="6FA80114"/>
    <w:rsid w:val="700F7F46"/>
    <w:rsid w:val="70207CAA"/>
    <w:rsid w:val="706B361B"/>
    <w:rsid w:val="70716758"/>
    <w:rsid w:val="70785D38"/>
    <w:rsid w:val="71015D2D"/>
    <w:rsid w:val="725D5E29"/>
    <w:rsid w:val="737740A7"/>
    <w:rsid w:val="747302C2"/>
    <w:rsid w:val="749568DD"/>
    <w:rsid w:val="74E03EAC"/>
    <w:rsid w:val="75AB270C"/>
    <w:rsid w:val="76B93805"/>
    <w:rsid w:val="77242776"/>
    <w:rsid w:val="77F739E6"/>
    <w:rsid w:val="79C943F8"/>
    <w:rsid w:val="7B4C7361"/>
    <w:rsid w:val="7B8C6B3B"/>
    <w:rsid w:val="7BFC0613"/>
    <w:rsid w:val="7E952BC4"/>
    <w:rsid w:val="7EC1594C"/>
    <w:rsid w:val="7FC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四级标题"/>
    <w:basedOn w:val="3"/>
    <w:qFormat/>
    <w:uiPriority w:val="0"/>
    <w:rPr>
      <w:rFonts w:eastAsia="黑体" w:cs="Times New Roman"/>
    </w:rPr>
  </w:style>
  <w:style w:type="paragraph" w:styleId="3">
    <w:name w:val="Date"/>
    <w:basedOn w:val="1"/>
    <w:next w:val="1"/>
    <w:qFormat/>
    <w:uiPriority w:val="0"/>
    <w:pPr>
      <w:ind w:left="100" w:leftChars="2500"/>
    </w:pPr>
    <w:rPr>
      <w:kern w:val="0"/>
      <w:sz w:val="20"/>
      <w:szCs w:val="24"/>
    </w:r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kern w:val="0"/>
      <w:sz w:val="24"/>
      <w:szCs w:val="20"/>
    </w:rPr>
  </w:style>
  <w:style w:type="paragraph" w:styleId="8">
    <w:name w:val="Plain Text"/>
    <w:basedOn w:val="1"/>
    <w:qFormat/>
    <w:uiPriority w:val="99"/>
    <w:rPr>
      <w:rFonts w:ascii="宋体" w:hAnsi="Courier New"/>
      <w:sz w:val="28"/>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Hyperlink"/>
    <w:semiHidden/>
    <w:qFormat/>
    <w:uiPriority w:val="99"/>
    <w:rPr>
      <w:rFonts w:cs="Times New Roman"/>
      <w:color w:val="0000FF"/>
      <w:u w:val="single"/>
    </w:rPr>
  </w:style>
  <w:style w:type="paragraph" w:customStyle="1" w:styleId="17">
    <w:name w:val="第二层标题"/>
    <w:basedOn w:val="4"/>
    <w:qFormat/>
    <w:uiPriority w:val="0"/>
    <w:pPr>
      <w:spacing w:before="140" w:after="140" w:line="400" w:lineRule="exact"/>
    </w:pPr>
    <w:rPr>
      <w:b w:val="0"/>
      <w:sz w:val="28"/>
      <w:szCs w:val="28"/>
    </w:rPr>
  </w:style>
  <w:style w:type="paragraph" w:customStyle="1" w:styleId="18">
    <w:name w:val="*正文"/>
    <w:basedOn w:val="1"/>
    <w:qFormat/>
    <w:uiPriority w:val="0"/>
    <w:pPr>
      <w:widowControl/>
      <w:spacing w:line="360" w:lineRule="auto"/>
      <w:ind w:left="200" w:leftChars="200" w:firstLine="437"/>
      <w:jc w:val="left"/>
    </w:pPr>
    <w:rPr>
      <w:rFonts w:ascii="宋体" w:hAnsi="宋体" w:eastAsia="等线"/>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12242</Words>
  <Characters>12705</Characters>
  <Lines>0</Lines>
  <Paragraphs>0</Paragraphs>
  <TotalTime>9</TotalTime>
  <ScaleCrop>false</ScaleCrop>
  <LinksUpToDate>false</LinksUpToDate>
  <CharactersWithSpaces>13430</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2022-09-09T01:09:00Z</dcterms:created>
  <dc:creator>朱琦</dc:creator>
  <cp:lastModifiedBy>杨蓓娟</cp:lastModifiedBy>
  <dcterms:modified xsi:type="dcterms:W3CDTF">2024-06-28T02:40:26Z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A3FFD58991DD4542BD22F9F03CA0B19B_13</vt:lpwstr>
  </property>
</Properties>
</file>