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highlight w:val="none"/>
          <w:lang w:val="en-US" w:eastAsia="zh-CN"/>
        </w:rPr>
      </w:pPr>
      <w:r>
        <w:rPr>
          <w:rFonts w:hint="eastAsia"/>
          <w:highlight w:val="none"/>
        </w:rPr>
        <w:t>南通兴东国际机场</w:t>
      </w:r>
      <w:r>
        <w:rPr>
          <w:rFonts w:hint="eastAsia"/>
          <w:highlight w:val="none"/>
          <w:lang w:val="en-US" w:eastAsia="zh-CN"/>
        </w:rPr>
        <w:t>密闭箱式电动三轮车采购项目</w:t>
      </w:r>
    </w:p>
    <w:p>
      <w:pPr>
        <w:pageBreakBefore w:val="0"/>
        <w:kinsoku/>
        <w:wordWrap/>
        <w:overflowPunct/>
        <w:bidi w:val="0"/>
        <w:spacing w:before="157" w:beforeLines="50" w:after="157" w:afterLines="50" w:line="30" w:lineRule="atLeast"/>
        <w:jc w:val="center"/>
        <w:rPr>
          <w:rFonts w:hint="eastAsia" w:ascii="宋体" w:hAnsi="宋体" w:cs="宋体"/>
          <w:b/>
          <w:sz w:val="44"/>
          <w:szCs w:val="44"/>
          <w:highlight w:val="none"/>
        </w:rPr>
      </w:pPr>
      <w:r>
        <w:rPr>
          <w:rFonts w:hint="eastAsia" w:ascii="宋体" w:hAnsi="宋体" w:cs="宋体"/>
          <w:b/>
          <w:sz w:val="44"/>
          <w:szCs w:val="44"/>
          <w:highlight w:val="none"/>
        </w:rPr>
        <w:t>采购文件</w:t>
      </w:r>
    </w:p>
    <w:p>
      <w:pPr>
        <w:pageBreakBefore w:val="0"/>
        <w:kinsoku/>
        <w:wordWrap/>
        <w:overflowPunct/>
        <w:bidi w:val="0"/>
        <w:spacing w:before="157" w:beforeLines="50" w:after="157" w:afterLines="50" w:line="30" w:lineRule="atLeast"/>
        <w:contextualSpacing/>
        <w:jc w:val="center"/>
        <w:outlineLvl w:val="0"/>
        <w:rPr>
          <w:rFonts w:ascii="黑体" w:hAnsi="黑体" w:eastAsia="黑体"/>
          <w:sz w:val="30"/>
          <w:szCs w:val="30"/>
          <w:highlight w:val="none"/>
        </w:rPr>
      </w:pPr>
      <w:r>
        <w:rPr>
          <w:rFonts w:hint="eastAsia" w:ascii="黑体" w:hAnsi="黑体" w:eastAsia="黑体"/>
          <w:sz w:val="30"/>
          <w:szCs w:val="30"/>
          <w:highlight w:val="none"/>
        </w:rPr>
        <w:t>第一章</w:t>
      </w:r>
      <w:r>
        <w:rPr>
          <w:rFonts w:ascii="黑体" w:hAnsi="黑体" w:eastAsia="黑体"/>
          <w:sz w:val="30"/>
          <w:szCs w:val="30"/>
          <w:highlight w:val="none"/>
        </w:rPr>
        <w:t xml:space="preserve"> </w:t>
      </w:r>
      <w:r>
        <w:rPr>
          <w:rFonts w:hint="eastAsia" w:ascii="黑体" w:hAnsi="黑体" w:eastAsia="黑体"/>
          <w:sz w:val="30"/>
          <w:szCs w:val="30"/>
          <w:highlight w:val="none"/>
        </w:rPr>
        <w:t>采购公告</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480" w:firstLineChars="200"/>
        <w:jc w:val="both"/>
        <w:rPr>
          <w:rFonts w:hint="eastAsia" w:ascii="仿宋" w:hAnsi="仿宋" w:eastAsia="仿宋" w:cs="仿宋"/>
          <w:highlight w:val="none"/>
          <w:shd w:val="clear" w:color="auto" w:fill="FFFFFF"/>
        </w:rPr>
      </w:pPr>
      <w:bookmarkStart w:id="0" w:name="_Toc10684"/>
      <w:r>
        <w:rPr>
          <w:rFonts w:hint="eastAsia" w:ascii="仿宋" w:hAnsi="仿宋" w:eastAsia="仿宋" w:cs="仿宋"/>
          <w:highlight w:val="none"/>
          <w:shd w:val="clear" w:color="auto" w:fill="FFFFFF"/>
        </w:rPr>
        <w:t>南通机场集团有限公司对</w:t>
      </w:r>
      <w:r>
        <w:rPr>
          <w:rFonts w:hint="eastAsia" w:ascii="仿宋" w:hAnsi="仿宋" w:eastAsia="仿宋" w:cs="仿宋"/>
          <w:highlight w:val="none"/>
          <w:shd w:val="clear" w:color="auto" w:fill="FFFFFF"/>
          <w:lang w:val="en-US" w:eastAsia="zh-CN"/>
        </w:rPr>
        <w:t>密闭箱式电动三轮车采购</w:t>
      </w:r>
      <w:r>
        <w:rPr>
          <w:rFonts w:hint="eastAsia" w:ascii="仿宋" w:hAnsi="仿宋" w:eastAsia="仿宋" w:cs="仿宋"/>
          <w:highlight w:val="none"/>
          <w:shd w:val="clear" w:color="auto" w:fill="FFFFFF"/>
        </w:rPr>
        <w:t>进行</w:t>
      </w:r>
      <w:r>
        <w:rPr>
          <w:rFonts w:hint="eastAsia" w:ascii="仿宋" w:hAnsi="仿宋" w:eastAsia="仿宋" w:cs="仿宋"/>
          <w:highlight w:val="none"/>
          <w:shd w:val="clear" w:color="auto" w:fill="FFFFFF"/>
          <w:lang w:val="en-US" w:eastAsia="zh-CN"/>
        </w:rPr>
        <w:t>公开询价方式</w:t>
      </w:r>
      <w:r>
        <w:rPr>
          <w:rFonts w:hint="eastAsia" w:ascii="仿宋" w:hAnsi="仿宋" w:eastAsia="仿宋" w:cs="仿宋"/>
          <w:highlight w:val="none"/>
          <w:shd w:val="clear" w:color="auto" w:fill="FFFFFF"/>
        </w:rPr>
        <w:t>采购，特邀请符合条件的供应商参加。</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482" w:firstLineChars="200"/>
        <w:jc w:val="both"/>
        <w:outlineLvl w:val="1"/>
        <w:rPr>
          <w:rFonts w:hint="eastAsia" w:ascii="黑体" w:hAnsi="黑体" w:eastAsia="黑体" w:cs="黑体"/>
          <w:b/>
          <w:bCs/>
          <w:highlight w:val="none"/>
          <w:shd w:val="clear" w:color="auto" w:fill="FFFFFF"/>
        </w:rPr>
      </w:pPr>
      <w:r>
        <w:rPr>
          <w:rFonts w:hint="eastAsia" w:ascii="黑体" w:hAnsi="黑体" w:eastAsia="黑体" w:cs="黑体"/>
          <w:b/>
          <w:bCs/>
          <w:highlight w:val="none"/>
          <w:shd w:val="clear" w:color="auto" w:fill="FFFFFF"/>
        </w:rPr>
        <w:t>一、项目内容</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480" w:firstLineChars="200"/>
        <w:jc w:val="both"/>
        <w:rPr>
          <w:rFonts w:hint="default"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rPr>
        <w:t>项目编号：</w:t>
      </w:r>
      <w:r>
        <w:rPr>
          <w:rFonts w:hint="eastAsia" w:ascii="仿宋" w:hAnsi="仿宋" w:eastAsia="仿宋" w:cs="仿宋"/>
          <w:highlight w:val="none"/>
          <w:shd w:val="clear" w:color="auto" w:fill="FFFFFF"/>
          <w:lang w:val="en-US" w:eastAsia="zh-CN"/>
        </w:rPr>
        <w:t>JCJT-ZC-2022055</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480" w:firstLineChars="200"/>
        <w:jc w:val="both"/>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rPr>
        <w:t>项目名称：南通兴东国际机场</w:t>
      </w:r>
      <w:r>
        <w:rPr>
          <w:rFonts w:hint="eastAsia" w:ascii="仿宋" w:hAnsi="仿宋" w:eastAsia="仿宋" w:cs="仿宋"/>
          <w:highlight w:val="none"/>
          <w:shd w:val="clear" w:color="auto" w:fill="FFFFFF"/>
          <w:lang w:val="en-US" w:eastAsia="zh-CN"/>
        </w:rPr>
        <w:t>密闭箱式电动三轮车采购项目；</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480" w:firstLineChars="200"/>
        <w:jc w:val="both"/>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rPr>
        <w:t>采购预算</w:t>
      </w:r>
      <w:r>
        <w:rPr>
          <w:rFonts w:hint="eastAsia" w:ascii="仿宋" w:hAnsi="仿宋" w:eastAsia="仿宋" w:cs="仿宋"/>
          <w:highlight w:val="none"/>
          <w:shd w:val="clear" w:color="auto" w:fill="FFFFFF"/>
          <w:lang w:eastAsia="zh-CN"/>
        </w:rPr>
        <w:t>：</w:t>
      </w:r>
      <w:r>
        <w:rPr>
          <w:rFonts w:hint="eastAsia" w:ascii="仿宋" w:hAnsi="仿宋" w:eastAsia="仿宋" w:cs="仿宋"/>
          <w:highlight w:val="none"/>
          <w:shd w:val="clear" w:color="auto" w:fill="FFFFFF"/>
          <w:lang w:val="en-US" w:eastAsia="zh-CN"/>
        </w:rPr>
        <w:t>2.1万元；</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480" w:firstLineChars="200"/>
        <w:jc w:val="both"/>
        <w:rPr>
          <w:rFonts w:hint="eastAsia" w:ascii="仿宋" w:hAnsi="仿宋" w:eastAsia="仿宋" w:cs="仿宋"/>
          <w:highlight w:val="none"/>
          <w:lang w:eastAsia="zh-CN"/>
        </w:rPr>
      </w:pPr>
      <w:r>
        <w:rPr>
          <w:rFonts w:hint="eastAsia" w:ascii="仿宋" w:hAnsi="仿宋" w:eastAsia="仿宋" w:cs="仿宋"/>
          <w:highlight w:val="none"/>
          <w:shd w:val="clear" w:color="auto" w:fill="FFFFFF"/>
        </w:rPr>
        <w:t>项目清单：详见第三章项目需求</w:t>
      </w:r>
      <w:r>
        <w:rPr>
          <w:rFonts w:hint="eastAsia" w:ascii="仿宋" w:hAnsi="仿宋" w:eastAsia="仿宋" w:cs="仿宋"/>
          <w:highlight w:val="none"/>
          <w:shd w:val="clear" w:color="auto" w:fill="FFFFFF"/>
          <w:lang w:eastAsia="zh-CN"/>
        </w:rPr>
        <w:t>。</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482" w:firstLineChars="200"/>
        <w:jc w:val="both"/>
        <w:outlineLvl w:val="1"/>
        <w:rPr>
          <w:rFonts w:hint="eastAsia" w:ascii="黑体" w:hAnsi="黑体" w:eastAsia="黑体" w:cs="黑体"/>
          <w:b/>
          <w:bCs/>
          <w:highlight w:val="none"/>
          <w:shd w:val="clear" w:color="auto" w:fill="FFFFFF"/>
        </w:rPr>
      </w:pPr>
      <w:r>
        <w:rPr>
          <w:rFonts w:hint="eastAsia" w:ascii="黑体" w:hAnsi="黑体" w:eastAsia="黑体" w:cs="黑体"/>
          <w:b/>
          <w:bCs/>
          <w:highlight w:val="none"/>
          <w:shd w:val="clear" w:color="auto" w:fill="FFFFFF"/>
        </w:rPr>
        <w:t>二、资格要求</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480" w:firstLineChars="200"/>
        <w:jc w:val="both"/>
        <w:rPr>
          <w:rFonts w:hint="eastAsia" w:ascii="仿宋" w:hAnsi="仿宋" w:eastAsia="仿宋" w:cs="仿宋"/>
          <w:highlight w:val="none"/>
          <w:shd w:val="clear" w:color="auto" w:fill="FFFFFF"/>
        </w:rPr>
      </w:pPr>
      <w:r>
        <w:rPr>
          <w:rFonts w:hint="eastAsia" w:ascii="仿宋" w:hAnsi="仿宋" w:eastAsia="仿宋" w:cs="仿宋"/>
          <w:highlight w:val="none"/>
          <w:shd w:val="clear" w:color="auto" w:fill="FFFFFF"/>
        </w:rPr>
        <w:t>1、资质条件：投标人具有</w:t>
      </w:r>
      <w:r>
        <w:rPr>
          <w:rFonts w:hint="eastAsia" w:ascii="仿宋" w:hAnsi="仿宋" w:eastAsia="仿宋" w:cs="仿宋"/>
          <w:highlight w:val="none"/>
          <w:shd w:val="clear" w:color="auto" w:fill="FFFFFF"/>
          <w:lang w:eastAsia="zh-CN"/>
        </w:rPr>
        <w:t>承担民事责任的法人资格</w:t>
      </w:r>
      <w:r>
        <w:rPr>
          <w:rFonts w:hint="eastAsia" w:ascii="仿宋" w:hAnsi="仿宋" w:eastAsia="仿宋" w:cs="仿宋"/>
          <w:highlight w:val="none"/>
          <w:shd w:val="clear" w:color="auto" w:fill="FFFFFF"/>
        </w:rPr>
        <w:t>，招标内容在其营业执照的经营范围内</w:t>
      </w:r>
      <w:r>
        <w:rPr>
          <w:rFonts w:hint="eastAsia" w:ascii="仿宋" w:hAnsi="仿宋" w:eastAsia="仿宋" w:cs="仿宋"/>
          <w:highlight w:val="none"/>
          <w:shd w:val="clear" w:color="auto" w:fill="FFFFFF"/>
          <w:lang w:eastAsia="zh-CN"/>
        </w:rPr>
        <w:t>（提供营业执照复印件）</w:t>
      </w:r>
      <w:r>
        <w:rPr>
          <w:rFonts w:hint="eastAsia" w:ascii="仿宋" w:hAnsi="仿宋" w:eastAsia="仿宋" w:cs="仿宋"/>
          <w:highlight w:val="none"/>
          <w:shd w:val="clear" w:color="auto" w:fill="FFFFFF"/>
        </w:rPr>
        <w:t>；</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480" w:firstLineChars="200"/>
        <w:jc w:val="both"/>
        <w:rPr>
          <w:rFonts w:hint="eastAsia" w:ascii="仿宋" w:hAnsi="仿宋" w:eastAsia="仿宋" w:cs="仿宋"/>
          <w:highlight w:val="none"/>
          <w:shd w:val="clear" w:color="auto" w:fill="FFFFFF"/>
        </w:rPr>
      </w:pP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rPr>
        <w:t>财务要求：响应供应商具有健全的财务会计制度（提供202</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rPr>
        <w:t>年度财务报表）；</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480" w:firstLineChars="200"/>
        <w:jc w:val="both"/>
        <w:rPr>
          <w:rFonts w:hint="eastAsia" w:ascii="仿宋" w:hAnsi="仿宋" w:eastAsia="仿宋" w:cs="仿宋"/>
          <w:highlight w:val="none"/>
          <w:shd w:val="clear" w:color="auto" w:fill="FFFFFF"/>
        </w:rPr>
      </w:pP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rPr>
        <w:t>商业信誉：响应供应商具有良好的商业信誉（未被信用中国等列入失信被执行人、企业经营异常名录、重大税收违法案件当事人名单、政府采购严重违法失信名单，没有因违反招投标规定被行政处罚且在公示期内，响应人提供</w:t>
      </w:r>
      <w:r>
        <w:rPr>
          <w:rFonts w:hint="eastAsia" w:ascii="仿宋" w:hAnsi="仿宋" w:eastAsia="仿宋" w:cs="仿宋"/>
          <w:highlight w:val="none"/>
          <w:shd w:val="clear" w:color="auto" w:fill="FFFFFF"/>
          <w:lang w:val="en-US" w:eastAsia="zh-CN"/>
        </w:rPr>
        <w:t>各征信网站截图</w:t>
      </w:r>
      <w:r>
        <w:rPr>
          <w:rFonts w:hint="eastAsia" w:ascii="仿宋" w:hAnsi="仿宋" w:eastAsia="仿宋" w:cs="仿宋"/>
          <w:highlight w:val="none"/>
          <w:shd w:val="clear" w:color="auto" w:fill="FFFFFF"/>
        </w:rPr>
        <w:t>材料）；</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480" w:firstLineChars="200"/>
        <w:jc w:val="both"/>
        <w:rPr>
          <w:rFonts w:hint="eastAsia" w:ascii="仿宋" w:hAnsi="仿宋" w:eastAsia="仿宋" w:cs="仿宋"/>
          <w:b w:val="0"/>
          <w:bCs w:val="0"/>
          <w:highlight w:val="none"/>
          <w:shd w:val="clear" w:color="auto" w:fill="FFFFFF"/>
          <w:lang w:val="en-US" w:eastAsia="zh-CN"/>
        </w:rPr>
      </w:pPr>
      <w:r>
        <w:rPr>
          <w:rFonts w:hint="eastAsia" w:ascii="仿宋" w:hAnsi="仿宋" w:eastAsia="仿宋" w:cs="仿宋"/>
          <w:highlight w:val="none"/>
          <w:shd w:val="clear" w:color="auto" w:fill="FFFFFF"/>
          <w:lang w:val="en-US" w:eastAsia="zh-CN"/>
        </w:rPr>
        <w:t>4、履约能力：响应供应商具有履行合同所必需的设备和专业技术能力（提供2019年1月至今的类似业绩合同复印件和发票）</w:t>
      </w:r>
      <w:r>
        <w:rPr>
          <w:rFonts w:hint="eastAsia" w:ascii="仿宋" w:hAnsi="仿宋" w:eastAsia="仿宋" w:cs="仿宋"/>
          <w:b w:val="0"/>
          <w:bCs w:val="0"/>
          <w:highlight w:val="none"/>
          <w:shd w:val="clear" w:color="auto" w:fill="FFFFFF"/>
          <w:lang w:val="en-US" w:eastAsia="zh-CN"/>
        </w:rPr>
        <w:t>；</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480" w:firstLineChars="200"/>
        <w:jc w:val="both"/>
        <w:rPr>
          <w:rFonts w:hint="eastAsia" w:ascii="仿宋" w:hAnsi="仿宋" w:eastAsia="仿宋" w:cs="仿宋"/>
          <w:highlight w:val="none"/>
          <w:shd w:val="clear" w:color="auto" w:fill="FFFFFF"/>
        </w:rPr>
      </w:pPr>
      <w:r>
        <w:rPr>
          <w:rFonts w:hint="eastAsia" w:ascii="仿宋" w:hAnsi="仿宋" w:eastAsia="仿宋" w:cs="仿宋"/>
          <w:b w:val="0"/>
          <w:bCs w:val="0"/>
          <w:highlight w:val="none"/>
          <w:shd w:val="clear" w:color="auto" w:fill="FFFFFF"/>
          <w:lang w:val="en-US" w:eastAsia="zh-CN"/>
        </w:rPr>
        <w:t>5、</w:t>
      </w:r>
      <w:r>
        <w:rPr>
          <w:rFonts w:hint="eastAsia" w:ascii="仿宋" w:hAnsi="仿宋" w:eastAsia="仿宋" w:cs="仿宋"/>
          <w:highlight w:val="none"/>
          <w:shd w:val="clear" w:color="auto" w:fill="FFFFFF"/>
        </w:rPr>
        <w:t>其他要求：有依法缴纳税收和社会保障资金的良好记录（提供开标前三个月的缴纳税收和社会保障资金的记录材料）；</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480" w:firstLineChars="200"/>
        <w:jc w:val="both"/>
        <w:rPr>
          <w:rFonts w:hint="eastAsia" w:ascii="仿宋" w:hAnsi="仿宋" w:eastAsia="仿宋" w:cs="仿宋"/>
          <w:highlight w:val="none"/>
          <w:shd w:val="clear" w:color="auto" w:fill="FFFFFF"/>
        </w:rPr>
      </w:pPr>
      <w:r>
        <w:rPr>
          <w:rFonts w:hint="eastAsia" w:ascii="仿宋" w:hAnsi="仿宋" w:eastAsia="仿宋" w:cs="仿宋"/>
          <w:b w:val="0"/>
          <w:bCs w:val="0"/>
          <w:highlight w:val="none"/>
          <w:shd w:val="clear" w:color="auto" w:fill="FFFFFF"/>
          <w:lang w:val="en-US" w:eastAsia="zh-CN"/>
        </w:rPr>
        <w:t>6、</w:t>
      </w:r>
      <w:r>
        <w:rPr>
          <w:rFonts w:hint="eastAsia" w:ascii="仿宋" w:hAnsi="仿宋" w:eastAsia="仿宋" w:cs="仿宋"/>
          <w:b w:val="0"/>
          <w:bCs w:val="0"/>
          <w:highlight w:val="none"/>
          <w:shd w:val="clear" w:color="auto" w:fill="FFFFFF"/>
        </w:rPr>
        <w:t>本次招标不接受联合体投标</w:t>
      </w:r>
      <w:r>
        <w:rPr>
          <w:rFonts w:hint="eastAsia" w:ascii="仿宋" w:hAnsi="仿宋" w:eastAsia="仿宋" w:cs="仿宋"/>
          <w:b w:val="0"/>
          <w:bCs w:val="0"/>
          <w:highlight w:val="none"/>
          <w:shd w:val="clear" w:color="auto" w:fill="FFFFFF"/>
          <w:lang w:eastAsia="zh-CN"/>
        </w:rPr>
        <w:t>；</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480" w:firstLineChars="200"/>
        <w:jc w:val="both"/>
        <w:rPr>
          <w:rFonts w:hint="eastAsia" w:ascii="仿宋" w:hAnsi="仿宋" w:eastAsia="仿宋" w:cs="仿宋"/>
          <w:highlight w:val="none"/>
          <w:shd w:val="clear" w:color="auto" w:fill="FFFFFF"/>
        </w:rPr>
      </w:pPr>
      <w:r>
        <w:rPr>
          <w:rFonts w:hint="eastAsia" w:ascii="仿宋" w:hAnsi="仿宋" w:eastAsia="仿宋" w:cs="仿宋"/>
          <w:highlight w:val="none"/>
          <w:shd w:val="clear" w:color="auto" w:fill="FFFFFF"/>
          <w:lang w:val="en-US" w:eastAsia="zh-CN"/>
        </w:rPr>
        <w:t>7、</w:t>
      </w:r>
      <w:r>
        <w:rPr>
          <w:rFonts w:hint="eastAsia" w:ascii="仿宋" w:hAnsi="仿宋" w:eastAsia="仿宋" w:cs="仿宋"/>
          <w:highlight w:val="none"/>
          <w:shd w:val="clear" w:color="auto" w:fill="FFFFFF"/>
        </w:rPr>
        <w:t>具有投资参股关系的关联企业，或具有直接管理和被管理关系的母子公司，或同一母公司的子公司，不予同时参加本项目投标；法人代表为同一人的两个及以上公司，不予同时参加本项目投标。</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482" w:firstLineChars="200"/>
        <w:jc w:val="both"/>
        <w:outlineLvl w:val="1"/>
        <w:rPr>
          <w:rFonts w:hint="eastAsia" w:ascii="黑体" w:hAnsi="黑体" w:eastAsia="黑体" w:cs="黑体"/>
          <w:b/>
          <w:bCs/>
          <w:highlight w:val="none"/>
          <w:shd w:val="clear" w:color="auto" w:fill="FFFFFF"/>
        </w:rPr>
      </w:pPr>
      <w:r>
        <w:rPr>
          <w:rFonts w:hint="eastAsia" w:ascii="黑体" w:hAnsi="黑体" w:eastAsia="黑体" w:cs="黑体"/>
          <w:b/>
          <w:bCs/>
          <w:highlight w:val="none"/>
          <w:shd w:val="clear" w:color="auto" w:fill="FFFFFF"/>
        </w:rPr>
        <w:t>三、文件获取</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480" w:firstLineChars="200"/>
        <w:jc w:val="both"/>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zh-CN"/>
        </w:rPr>
        <w:t>1、采购文件获取时间：自公告发布之日起；</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480" w:firstLineChars="200"/>
        <w:jc w:val="both"/>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zh-CN"/>
        </w:rPr>
        <w:t>2、采购文件获取方法：在南通机场集团官网上自行下载。</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482" w:firstLineChars="200"/>
        <w:jc w:val="both"/>
        <w:outlineLvl w:val="1"/>
        <w:rPr>
          <w:rFonts w:hint="eastAsia" w:ascii="黑体" w:hAnsi="黑体" w:eastAsia="黑体" w:cs="黑体"/>
          <w:b/>
          <w:bCs/>
          <w:highlight w:val="none"/>
          <w:shd w:val="clear" w:color="auto" w:fill="FFFFFF"/>
        </w:rPr>
      </w:pPr>
      <w:r>
        <w:rPr>
          <w:rFonts w:hint="eastAsia" w:ascii="黑体" w:hAnsi="黑体" w:eastAsia="黑体" w:cs="黑体"/>
          <w:b/>
          <w:bCs/>
          <w:highlight w:val="none"/>
          <w:shd w:val="clear" w:color="auto" w:fill="FFFFFF"/>
        </w:rPr>
        <w:t>四、文件递交</w:t>
      </w:r>
    </w:p>
    <w:bookmarkEnd w:id="0"/>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480" w:firstLineChars="200"/>
        <w:jc w:val="both"/>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rPr>
        <w:t>1、</w:t>
      </w:r>
      <w:r>
        <w:rPr>
          <w:rFonts w:hint="eastAsia" w:ascii="仿宋" w:hAnsi="仿宋" w:eastAsia="仿宋" w:cs="仿宋"/>
          <w:highlight w:val="none"/>
          <w:shd w:val="clear" w:color="auto" w:fill="FFFFFF"/>
          <w:lang w:val="zh-CN"/>
        </w:rPr>
        <w:t>递交截止时间：</w:t>
      </w:r>
      <w:r>
        <w:rPr>
          <w:rFonts w:hint="eastAsia" w:ascii="仿宋" w:hAnsi="仿宋" w:eastAsia="仿宋" w:cs="仿宋"/>
          <w:highlight w:val="none"/>
          <w:shd w:val="clear" w:color="auto" w:fill="FFFFFF"/>
        </w:rPr>
        <w:t>2022</w:t>
      </w:r>
      <w:r>
        <w:rPr>
          <w:rFonts w:hint="eastAsia" w:ascii="仿宋" w:hAnsi="仿宋" w:eastAsia="仿宋" w:cs="仿宋"/>
          <w:highlight w:val="none"/>
          <w:shd w:val="clear" w:color="auto" w:fill="FFFFFF"/>
          <w:lang w:val="zh-CN"/>
        </w:rPr>
        <w:t>年</w:t>
      </w:r>
      <w:r>
        <w:rPr>
          <w:rFonts w:hint="eastAsia" w:ascii="仿宋" w:hAnsi="仿宋" w:eastAsia="仿宋" w:cs="仿宋"/>
          <w:highlight w:val="none"/>
          <w:shd w:val="clear" w:color="auto" w:fill="FFFFFF"/>
          <w:lang w:val="en-US" w:eastAsia="zh-CN"/>
        </w:rPr>
        <w:t xml:space="preserve"> 05</w:t>
      </w:r>
      <w:r>
        <w:rPr>
          <w:rFonts w:hint="eastAsia" w:ascii="仿宋" w:hAnsi="仿宋" w:eastAsia="仿宋" w:cs="仿宋"/>
          <w:highlight w:val="none"/>
          <w:shd w:val="clear" w:color="auto" w:fill="FFFFFF"/>
        </w:rPr>
        <w:t>月</w:t>
      </w:r>
      <w:r>
        <w:rPr>
          <w:rFonts w:hint="eastAsia" w:ascii="仿宋" w:hAnsi="仿宋" w:eastAsia="仿宋" w:cs="仿宋"/>
          <w:highlight w:val="none"/>
          <w:shd w:val="clear" w:color="auto" w:fill="FFFFFF"/>
          <w:lang w:val="en-US" w:eastAsia="zh-CN"/>
        </w:rPr>
        <w:t xml:space="preserve"> 26 </w:t>
      </w:r>
      <w:r>
        <w:rPr>
          <w:rFonts w:hint="eastAsia" w:ascii="仿宋" w:hAnsi="仿宋" w:eastAsia="仿宋" w:cs="仿宋"/>
          <w:highlight w:val="none"/>
          <w:shd w:val="clear" w:color="auto" w:fill="FFFFFF"/>
          <w:lang w:val="zh-CN"/>
        </w:rPr>
        <w:t>日</w:t>
      </w:r>
      <w:r>
        <w:rPr>
          <w:rFonts w:hint="eastAsia" w:ascii="仿宋" w:hAnsi="仿宋" w:eastAsia="仿宋" w:cs="仿宋"/>
          <w:highlight w:val="none"/>
          <w:shd w:val="clear" w:color="auto" w:fill="FFFFFF"/>
        </w:rPr>
        <w:t>【</w:t>
      </w:r>
      <w:r>
        <w:rPr>
          <w:rFonts w:hint="eastAsia" w:ascii="仿宋" w:hAnsi="仿宋" w:eastAsia="仿宋" w:cs="仿宋"/>
          <w:highlight w:val="none"/>
          <w:shd w:val="clear" w:color="auto" w:fill="FFFFFF"/>
          <w:lang w:val="en-US" w:eastAsia="zh-CN"/>
        </w:rPr>
        <w:t>上午10:00</w:t>
      </w:r>
      <w:r>
        <w:rPr>
          <w:rFonts w:hint="eastAsia" w:ascii="仿宋" w:hAnsi="仿宋" w:eastAsia="仿宋" w:cs="仿宋"/>
          <w:highlight w:val="none"/>
          <w:shd w:val="clear" w:color="auto" w:fill="FFFFFF"/>
        </w:rPr>
        <w:t>】</w:t>
      </w:r>
      <w:bookmarkStart w:id="1" w:name="_GoBack"/>
      <w:bookmarkEnd w:id="1"/>
      <w:r>
        <w:rPr>
          <w:rFonts w:hint="eastAsia" w:ascii="仿宋" w:hAnsi="仿宋" w:eastAsia="仿宋" w:cs="仿宋"/>
          <w:highlight w:val="none"/>
          <w:shd w:val="clear" w:color="auto" w:fill="FFFFFF"/>
          <w:lang w:val="zh-CN"/>
        </w:rPr>
        <w:t>（开标时间同上）；</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480" w:firstLineChars="200"/>
        <w:jc w:val="both"/>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rPr>
        <w:t>2、</w:t>
      </w:r>
      <w:r>
        <w:rPr>
          <w:rFonts w:hint="eastAsia" w:ascii="仿宋" w:hAnsi="仿宋" w:eastAsia="仿宋" w:cs="仿宋"/>
          <w:highlight w:val="none"/>
          <w:shd w:val="clear" w:color="auto" w:fill="FFFFFF"/>
          <w:lang w:val="zh-CN"/>
        </w:rPr>
        <w:t>文件递交地点：南通兴东国际机场办公楼</w:t>
      </w:r>
      <w:r>
        <w:rPr>
          <w:rFonts w:hint="eastAsia" w:ascii="仿宋" w:hAnsi="仿宋" w:eastAsia="仿宋" w:cs="仿宋"/>
          <w:highlight w:val="none"/>
          <w:shd w:val="clear" w:color="auto" w:fill="FFFFFF"/>
        </w:rPr>
        <w:t>208</w:t>
      </w:r>
      <w:r>
        <w:rPr>
          <w:rFonts w:hint="eastAsia" w:ascii="仿宋" w:hAnsi="仿宋" w:eastAsia="仿宋" w:cs="仿宋"/>
          <w:highlight w:val="none"/>
          <w:shd w:val="clear" w:color="auto" w:fill="FFFFFF"/>
          <w:lang w:val="zh-CN"/>
        </w:rPr>
        <w:t>室（开标地点同上）；</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480" w:firstLineChars="200"/>
        <w:jc w:val="both"/>
        <w:rPr>
          <w:rFonts w:hint="eastAsia" w:ascii="仿宋" w:hAnsi="仿宋" w:eastAsia="仿宋" w:cs="仿宋"/>
          <w:highlight w:val="none"/>
          <w:shd w:val="clear" w:color="auto" w:fill="FFFFFF"/>
        </w:rPr>
      </w:pPr>
      <w:r>
        <w:rPr>
          <w:rFonts w:hint="eastAsia" w:ascii="仿宋" w:hAnsi="仿宋" w:eastAsia="仿宋" w:cs="仿宋"/>
          <w:highlight w:val="none"/>
          <w:shd w:val="clear" w:color="auto" w:fill="FFFFFF"/>
        </w:rPr>
        <w:t>3、文件递交方式：邮寄方式递交纸质材料（不见面开标）；</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480" w:firstLineChars="200"/>
        <w:jc w:val="both"/>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rPr>
        <w:t>4、逾期送达的或者未送达指定地点的响应文件，采购人不予受理。</w:t>
      </w:r>
      <w:r>
        <w:rPr>
          <w:rFonts w:hint="eastAsia" w:ascii="仿宋" w:hAnsi="仿宋" w:eastAsia="仿宋" w:cs="仿宋"/>
          <w:highlight w:val="none"/>
          <w:shd w:val="clear" w:color="auto" w:fill="FFFFFF"/>
          <w:lang w:val="zh-CN"/>
        </w:rPr>
        <w:t> </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482" w:firstLineChars="200"/>
        <w:jc w:val="both"/>
        <w:outlineLvl w:val="1"/>
        <w:rPr>
          <w:rFonts w:hint="eastAsia" w:ascii="黑体" w:hAnsi="黑体" w:eastAsia="黑体" w:cs="黑体"/>
          <w:b/>
          <w:bCs/>
          <w:highlight w:val="none"/>
          <w:shd w:val="clear" w:color="auto" w:fill="FFFFFF"/>
          <w:lang w:val="zh-CN"/>
        </w:rPr>
      </w:pPr>
      <w:r>
        <w:rPr>
          <w:rFonts w:hint="eastAsia" w:ascii="黑体" w:hAnsi="黑体" w:eastAsia="黑体" w:cs="黑体"/>
          <w:b/>
          <w:bCs/>
          <w:highlight w:val="none"/>
          <w:shd w:val="clear" w:color="auto" w:fill="FFFFFF"/>
          <w:lang w:val="zh-CN"/>
        </w:rPr>
        <w:t>五、公告媒体</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480" w:firstLineChars="200"/>
        <w:jc w:val="both"/>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zh-CN"/>
        </w:rPr>
        <w:t>本次采购公告在南通机场集团官网上发布 </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482" w:firstLineChars="200"/>
        <w:jc w:val="both"/>
        <w:outlineLvl w:val="1"/>
        <w:rPr>
          <w:rFonts w:hint="eastAsia" w:ascii="黑体" w:hAnsi="黑体" w:eastAsia="黑体" w:cs="黑体"/>
          <w:b/>
          <w:bCs/>
          <w:highlight w:val="none"/>
          <w:shd w:val="clear" w:color="auto" w:fill="FFFFFF"/>
        </w:rPr>
      </w:pPr>
      <w:r>
        <w:rPr>
          <w:rFonts w:hint="eastAsia" w:ascii="黑体" w:hAnsi="黑体" w:eastAsia="黑体" w:cs="黑体"/>
          <w:b/>
          <w:bCs/>
          <w:highlight w:val="none"/>
          <w:shd w:val="clear" w:color="auto" w:fill="FFFFFF"/>
        </w:rPr>
        <w:t>六、联系方式</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480" w:firstLineChars="200"/>
        <w:jc w:val="both"/>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zh-CN"/>
        </w:rPr>
        <w:t>采购人：南通机场集团有限公司</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480" w:firstLineChars="200"/>
        <w:jc w:val="both"/>
        <w:rPr>
          <w:rFonts w:hint="default" w:ascii="仿宋" w:hAnsi="仿宋" w:eastAsia="宋体" w:cs="仿宋"/>
          <w:highlight w:val="none"/>
          <w:shd w:val="clear" w:color="auto" w:fill="FFFFFF"/>
          <w:lang w:val="en-US" w:eastAsia="zh-CN"/>
        </w:rPr>
      </w:pPr>
      <w:r>
        <w:rPr>
          <w:rFonts w:hint="eastAsia" w:ascii="仿宋" w:hAnsi="仿宋" w:eastAsia="仿宋" w:cs="仿宋"/>
          <w:highlight w:val="none"/>
          <w:shd w:val="clear" w:color="auto" w:fill="FFFFFF"/>
          <w:lang w:val="zh-CN"/>
        </w:rPr>
        <w:t>联系人：招标咨询</w:t>
      </w:r>
      <w:r>
        <w:rPr>
          <w:rFonts w:hint="eastAsia" w:ascii="仿宋" w:hAnsi="仿宋" w:eastAsia="仿宋" w:cs="仿宋"/>
          <w:highlight w:val="none"/>
          <w:shd w:val="clear" w:color="auto" w:fill="FFFFFF"/>
          <w:lang w:val="en-US" w:eastAsia="zh-CN"/>
        </w:rPr>
        <w:t xml:space="preserve"> 季汉飞</w:t>
      </w:r>
      <w:r>
        <w:rPr>
          <w:rFonts w:hint="eastAsia" w:ascii="仿宋" w:hAnsi="仿宋" w:eastAsia="仿宋" w:cs="仿宋"/>
          <w:highlight w:val="none"/>
          <w:shd w:val="clear" w:color="auto" w:fill="FFFFFF"/>
          <w:lang w:val="zh-CN"/>
        </w:rPr>
        <w:t xml:space="preserve"> 电话：0513-</w:t>
      </w:r>
      <w:r>
        <w:rPr>
          <w:rFonts w:hint="eastAsia" w:ascii="宋体" w:hAnsi="宋体"/>
          <w:highlight w:val="none"/>
          <w:lang w:val="zh-CN"/>
        </w:rPr>
        <w:t>86860086-8</w:t>
      </w:r>
      <w:r>
        <w:rPr>
          <w:rFonts w:hint="eastAsia" w:ascii="宋体" w:hAnsi="宋体"/>
          <w:highlight w:val="none"/>
        </w:rPr>
        <w:t>21</w:t>
      </w:r>
      <w:r>
        <w:rPr>
          <w:rFonts w:hint="eastAsia" w:ascii="宋体" w:hAnsi="宋体"/>
          <w:highlight w:val="none"/>
          <w:lang w:val="en-US" w:eastAsia="zh-CN"/>
        </w:rPr>
        <w:t>19</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1440" w:firstLineChars="600"/>
        <w:jc w:val="left"/>
        <w:rPr>
          <w:rFonts w:hint="default" w:ascii="仿宋" w:hAnsi="仿宋" w:eastAsia="仿宋" w:cs="仿宋"/>
          <w:highlight w:val="none"/>
          <w:lang w:val="en-US" w:eastAsia="zh-CN"/>
        </w:rPr>
      </w:pPr>
      <w:r>
        <w:rPr>
          <w:rFonts w:hint="eastAsia" w:ascii="仿宋" w:hAnsi="仿宋" w:eastAsia="仿宋" w:cs="仿宋"/>
          <w:highlight w:val="none"/>
        </w:rPr>
        <w:t xml:space="preserve">技术咨询 </w:t>
      </w:r>
      <w:r>
        <w:rPr>
          <w:rFonts w:hint="eastAsia" w:ascii="仿宋" w:hAnsi="仿宋" w:eastAsia="仿宋" w:cs="仿宋"/>
          <w:highlight w:val="none"/>
          <w:lang w:val="en-US" w:eastAsia="zh-CN"/>
        </w:rPr>
        <w:t xml:space="preserve">黄  琦 </w:t>
      </w:r>
      <w:r>
        <w:rPr>
          <w:rFonts w:hint="eastAsia" w:ascii="仿宋" w:hAnsi="仿宋" w:eastAsia="仿宋" w:cs="仿宋"/>
          <w:highlight w:val="none"/>
        </w:rPr>
        <w:t>电话：</w:t>
      </w:r>
      <w:r>
        <w:rPr>
          <w:rFonts w:hint="eastAsia" w:ascii="仿宋" w:hAnsi="仿宋" w:eastAsia="仿宋" w:cs="仿宋"/>
          <w:highlight w:val="none"/>
          <w:lang w:val="en-US" w:eastAsia="zh-CN"/>
        </w:rPr>
        <w:t>0513-86860315</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1440" w:firstLineChars="600"/>
        <w:jc w:val="both"/>
        <w:rPr>
          <w:rFonts w:ascii="仿宋" w:hAnsi="仿宋" w:cs="仿宋"/>
          <w:highlight w:val="none"/>
          <w:shd w:val="clear" w:color="auto" w:fill="FFFFFF"/>
        </w:rPr>
      </w:pPr>
      <w:r>
        <w:rPr>
          <w:rFonts w:hint="eastAsia" w:ascii="仿宋" w:hAnsi="仿宋" w:eastAsia="仿宋" w:cs="仿宋"/>
          <w:highlight w:val="none"/>
        </w:rPr>
        <w:t>采购监督 侯  骊 电话：</w:t>
      </w:r>
      <w:r>
        <w:rPr>
          <w:rFonts w:hint="eastAsia" w:ascii="宋体" w:hAnsi="宋体"/>
          <w:highlight w:val="none"/>
          <w:lang w:val="zh-CN"/>
        </w:rPr>
        <w:t>0513-86</w:t>
      </w:r>
      <w:r>
        <w:rPr>
          <w:rFonts w:hint="eastAsia" w:ascii="宋体" w:hAnsi="宋体"/>
          <w:highlight w:val="none"/>
        </w:rPr>
        <w:t>860086-80032</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480" w:firstLineChars="200"/>
        <w:jc w:val="both"/>
        <w:rPr>
          <w:rFonts w:hint="eastAsia" w:ascii="仿宋" w:hAnsi="仿宋" w:eastAsia="仿宋" w:cs="仿宋"/>
          <w:highlight w:val="none"/>
          <w:shd w:val="clear" w:color="auto" w:fill="FFFFFF"/>
        </w:rPr>
      </w:pPr>
      <w:r>
        <w:rPr>
          <w:rFonts w:hint="eastAsia" w:ascii="仿宋" w:hAnsi="仿宋" w:eastAsia="仿宋" w:cs="仿宋"/>
          <w:highlight w:val="none"/>
          <w:shd w:val="clear" w:color="auto" w:fill="FFFFFF"/>
          <w:lang w:val="zh-CN"/>
        </w:rPr>
        <w:t>邮</w:t>
      </w:r>
      <w:r>
        <w:rPr>
          <w:rFonts w:hint="eastAsia" w:ascii="仿宋" w:hAnsi="仿宋" w:eastAsia="仿宋" w:cs="仿宋"/>
          <w:highlight w:val="none"/>
          <w:shd w:val="clear" w:color="auto" w:fill="FFFFFF"/>
        </w:rPr>
        <w:t xml:space="preserve">  </w:t>
      </w:r>
      <w:r>
        <w:rPr>
          <w:rFonts w:hint="eastAsia" w:ascii="仿宋" w:hAnsi="仿宋" w:eastAsia="仿宋" w:cs="仿宋"/>
          <w:highlight w:val="none"/>
          <w:shd w:val="clear" w:color="auto" w:fill="FFFFFF"/>
          <w:lang w:val="zh-CN"/>
        </w:rPr>
        <w:t>箱：</w:t>
      </w:r>
      <w:r>
        <w:rPr>
          <w:rFonts w:hint="eastAsia" w:ascii="仿宋" w:hAnsi="仿宋" w:eastAsia="仿宋" w:cs="仿宋"/>
          <w:highlight w:val="none"/>
          <w:shd w:val="clear" w:color="auto" w:fill="FFFFFF"/>
          <w:lang w:val="en-US" w:eastAsia="zh-CN"/>
        </w:rPr>
        <w:t>1391136014</w:t>
      </w:r>
      <w:r>
        <w:rPr>
          <w:rFonts w:hint="eastAsia" w:ascii="仿宋" w:hAnsi="仿宋" w:eastAsia="仿宋" w:cs="仿宋"/>
          <w:highlight w:val="none"/>
          <w:shd w:val="clear" w:color="auto" w:fill="FFFFFF"/>
        </w:rPr>
        <w:t>@qq.com</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30" w:lineRule="atLeast"/>
        <w:ind w:firstLine="480" w:firstLineChars="200"/>
        <w:jc w:val="both"/>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zh-CN"/>
        </w:rPr>
        <w:t>地</w:t>
      </w:r>
      <w:r>
        <w:rPr>
          <w:rFonts w:hint="eastAsia" w:ascii="仿宋" w:hAnsi="仿宋" w:eastAsia="仿宋" w:cs="仿宋"/>
          <w:highlight w:val="none"/>
          <w:shd w:val="clear" w:color="auto" w:fill="FFFFFF"/>
        </w:rPr>
        <w:t xml:space="preserve">  </w:t>
      </w:r>
      <w:r>
        <w:rPr>
          <w:rFonts w:hint="eastAsia" w:ascii="仿宋" w:hAnsi="仿宋" w:eastAsia="仿宋" w:cs="仿宋"/>
          <w:highlight w:val="none"/>
          <w:shd w:val="clear" w:color="auto" w:fill="FFFFFF"/>
          <w:lang w:val="zh-CN"/>
        </w:rPr>
        <w:t>址：江苏省南通市兴东国际机场办公楼</w:t>
      </w:r>
      <w:r>
        <w:rPr>
          <w:rFonts w:hint="eastAsia" w:ascii="仿宋" w:hAnsi="仿宋" w:eastAsia="仿宋" w:cs="仿宋"/>
          <w:highlight w:val="none"/>
          <w:shd w:val="clear" w:color="auto" w:fill="FFFFFF"/>
        </w:rPr>
        <w:t>42</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rPr>
        <w:t>室</w:t>
      </w:r>
    </w:p>
    <w:p>
      <w:pPr>
        <w:adjustRightInd w:val="0"/>
        <w:snapToGrid w:val="0"/>
        <w:spacing w:line="360" w:lineRule="auto"/>
        <w:contextualSpacing/>
        <w:jc w:val="center"/>
        <w:rPr>
          <w:rFonts w:hint="eastAsia" w:ascii="黑体" w:hAnsi="黑体" w:eastAsia="黑体"/>
          <w:color w:val="auto"/>
          <w:sz w:val="30"/>
          <w:szCs w:val="30"/>
          <w:highlight w:val="none"/>
        </w:rPr>
      </w:pPr>
      <w:r>
        <w:rPr>
          <w:rFonts w:hint="eastAsia" w:ascii="黑体" w:hAnsi="黑体" w:eastAsia="黑体"/>
          <w:color w:val="auto"/>
          <w:sz w:val="30"/>
          <w:szCs w:val="30"/>
          <w:highlight w:val="none"/>
        </w:rPr>
        <w:t>第二章</w:t>
      </w:r>
      <w:r>
        <w:rPr>
          <w:rFonts w:ascii="黑体" w:hAnsi="黑体" w:eastAsia="黑体"/>
          <w:color w:val="auto"/>
          <w:sz w:val="30"/>
          <w:szCs w:val="30"/>
          <w:highlight w:val="none"/>
        </w:rPr>
        <w:t xml:space="preserve"> </w:t>
      </w:r>
      <w:r>
        <w:rPr>
          <w:rFonts w:hint="eastAsia" w:ascii="黑体" w:hAnsi="黑体" w:eastAsia="黑体"/>
          <w:color w:val="auto"/>
          <w:sz w:val="30"/>
          <w:szCs w:val="30"/>
          <w:highlight w:val="none"/>
        </w:rPr>
        <w:t>投标须知</w:t>
      </w:r>
    </w:p>
    <w:p>
      <w:pPr>
        <w:pStyle w:val="9"/>
        <w:widowControl/>
        <w:shd w:val="clear" w:color="auto" w:fill="FFFFFF"/>
        <w:adjustRightInd w:val="0"/>
        <w:snapToGrid w:val="0"/>
        <w:spacing w:beforeAutospacing="0" w:afterAutospacing="0" w:line="360" w:lineRule="auto"/>
        <w:ind w:firstLine="482" w:firstLineChars="200"/>
        <w:jc w:val="both"/>
        <w:rPr>
          <w:rFonts w:hint="eastAsia" w:ascii="黑体" w:hAnsi="黑体" w:eastAsia="黑体" w:cs="黑体"/>
          <w:b/>
          <w:bCs/>
          <w:color w:val="auto"/>
          <w:highlight w:val="none"/>
          <w:shd w:val="clear" w:color="auto" w:fill="FFFFFF"/>
          <w:lang w:val="zh-CN"/>
        </w:rPr>
      </w:pPr>
      <w:r>
        <w:rPr>
          <w:rFonts w:hint="eastAsia" w:ascii="黑体" w:hAnsi="黑体" w:eastAsia="黑体" w:cs="黑体"/>
          <w:b/>
          <w:bCs/>
          <w:color w:val="auto"/>
          <w:highlight w:val="none"/>
          <w:shd w:val="clear" w:color="auto" w:fill="FFFFFF"/>
          <w:lang w:val="zh-CN"/>
        </w:rPr>
        <w:t>一、澄清与修改</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rPr>
        <w:t>1、</w:t>
      </w:r>
      <w:r>
        <w:rPr>
          <w:rFonts w:hint="eastAsia" w:ascii="仿宋" w:hAnsi="仿宋" w:eastAsia="仿宋" w:cs="仿宋"/>
          <w:color w:val="auto"/>
          <w:highlight w:val="none"/>
          <w:shd w:val="clear" w:color="auto" w:fill="FFFFFF"/>
          <w:lang w:val="zh-CN"/>
        </w:rPr>
        <w:t>响应供应商应仔细阅读和检查采购文件的全部内容。如发现缺页或附件不全，应及时向采购人提出，以便补齐。如有疑问，应在开标前以质疑函要求采购人对采购文件予以澄清。</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rPr>
        <w:t>2、</w:t>
      </w:r>
      <w:r>
        <w:rPr>
          <w:rFonts w:hint="eastAsia" w:ascii="仿宋" w:hAnsi="仿宋" w:eastAsia="仿宋" w:cs="仿宋"/>
          <w:color w:val="auto"/>
          <w:highlight w:val="none"/>
          <w:shd w:val="clear" w:color="auto" w:fill="FFFFFF"/>
          <w:lang w:val="zh-CN"/>
        </w:rPr>
        <w:t>如果澄清发出的时间距投标截止时间不足</w:t>
      </w:r>
      <w:r>
        <w:rPr>
          <w:rFonts w:hint="eastAsia" w:ascii="仿宋" w:hAnsi="仿宋" w:eastAsia="仿宋" w:cs="仿宋"/>
          <w:color w:val="auto"/>
          <w:highlight w:val="none"/>
          <w:shd w:val="clear" w:color="auto" w:fill="FFFFFF"/>
        </w:rPr>
        <w:t>3工作日</w:t>
      </w: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rPr>
        <w:t>采购人</w:t>
      </w:r>
      <w:r>
        <w:rPr>
          <w:rFonts w:hint="eastAsia" w:ascii="仿宋" w:hAnsi="仿宋" w:eastAsia="仿宋" w:cs="仿宋"/>
          <w:color w:val="auto"/>
          <w:highlight w:val="none"/>
          <w:shd w:val="clear" w:color="auto" w:fill="FFFFFF"/>
          <w:lang w:val="zh-CN"/>
        </w:rPr>
        <w:t>相应延长投标截止时间。</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rPr>
      </w:pPr>
      <w:r>
        <w:rPr>
          <w:rFonts w:hint="eastAsia" w:ascii="仿宋" w:hAnsi="仿宋" w:eastAsia="仿宋" w:cs="仿宋"/>
          <w:color w:val="auto"/>
          <w:highlight w:val="none"/>
          <w:shd w:val="clear" w:color="auto" w:fill="FFFFFF"/>
        </w:rPr>
        <w:t>3、采购文件的修改和澄清将在</w:t>
      </w:r>
      <w:r>
        <w:rPr>
          <w:rFonts w:hint="eastAsia" w:ascii="仿宋" w:hAnsi="仿宋" w:eastAsia="仿宋" w:cs="仿宋"/>
          <w:color w:val="auto"/>
          <w:highlight w:val="none"/>
          <w:shd w:val="clear" w:color="auto" w:fill="FFFFFF"/>
          <w:lang w:eastAsia="zh-CN"/>
        </w:rPr>
        <w:t>南通机场集团官网</w:t>
      </w:r>
      <w:r>
        <w:rPr>
          <w:rFonts w:hint="eastAsia" w:ascii="仿宋" w:hAnsi="仿宋" w:eastAsia="仿宋" w:cs="仿宋"/>
          <w:color w:val="auto"/>
          <w:highlight w:val="none"/>
          <w:shd w:val="clear" w:color="auto" w:fill="FFFFFF"/>
        </w:rPr>
        <w:t>公布，补充文件将作为采购文件的组成部分，并对响应供应商具有约束力。</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rPr>
      </w:pPr>
    </w:p>
    <w:p>
      <w:pPr>
        <w:pStyle w:val="9"/>
        <w:widowControl/>
        <w:shd w:val="clear" w:color="auto" w:fill="FFFFFF"/>
        <w:adjustRightInd w:val="0"/>
        <w:snapToGrid w:val="0"/>
        <w:spacing w:beforeAutospacing="0" w:afterAutospacing="0" w:line="360" w:lineRule="auto"/>
        <w:ind w:firstLine="482" w:firstLineChars="200"/>
        <w:jc w:val="both"/>
        <w:rPr>
          <w:rFonts w:hint="eastAsia" w:ascii="黑体" w:hAnsi="黑体" w:eastAsia="黑体" w:cs="黑体"/>
          <w:b/>
          <w:bCs/>
          <w:color w:val="auto"/>
          <w:highlight w:val="none"/>
          <w:shd w:val="clear" w:color="auto" w:fill="FFFFFF"/>
          <w:lang w:val="zh-CN"/>
        </w:rPr>
      </w:pPr>
      <w:r>
        <w:rPr>
          <w:rFonts w:hint="eastAsia" w:ascii="黑体" w:hAnsi="黑体" w:eastAsia="黑体" w:cs="黑体"/>
          <w:b/>
          <w:bCs/>
          <w:color w:val="auto"/>
          <w:highlight w:val="none"/>
          <w:shd w:val="clear" w:color="auto" w:fill="FFFFFF"/>
          <w:lang w:val="zh-CN"/>
        </w:rPr>
        <w:t>二、质疑与答复</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rPr>
        <w:t>1、</w:t>
      </w:r>
      <w:r>
        <w:rPr>
          <w:rFonts w:hint="eastAsia" w:ascii="仿宋" w:hAnsi="仿宋" w:eastAsia="仿宋" w:cs="仿宋"/>
          <w:color w:val="auto"/>
          <w:highlight w:val="none"/>
          <w:shd w:val="clear" w:color="auto" w:fill="FFFFFF"/>
          <w:lang w:val="zh-CN"/>
        </w:rPr>
        <w:t>响应供应商认为采购文件使自己的权益受到损害的，可以在开标前，以书面形式向采购人提出质疑；对采购过程提出质疑的，为各采购程序环节结束之日；对中标或者成交结果提出质疑的，为中标或者成交结果公告期限届满之日。</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rPr>
        <w:t>2、质疑人、</w:t>
      </w:r>
      <w:r>
        <w:rPr>
          <w:rFonts w:hint="eastAsia" w:ascii="仿宋" w:hAnsi="仿宋" w:eastAsia="仿宋" w:cs="仿宋"/>
          <w:color w:val="auto"/>
          <w:highlight w:val="none"/>
          <w:shd w:val="clear" w:color="auto" w:fill="FFFFFF"/>
          <w:lang w:val="zh-CN"/>
        </w:rPr>
        <w:t>质疑函应当符合《政府采购质疑和投诉办法》所规定的要求，一次性提出同一环节的质疑，质疑必须以参加投标供应商法定代表人或授权代表（响应文件中所确定的）原件送达的方式提交，未按上述要求提交的质疑函（含传真、电子邮件等）采购人有权不予受理。</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rPr>
        <w:t>3、</w:t>
      </w:r>
      <w:r>
        <w:rPr>
          <w:rFonts w:hint="eastAsia" w:ascii="仿宋" w:hAnsi="仿宋" w:eastAsia="仿宋" w:cs="仿宋"/>
          <w:color w:val="auto"/>
          <w:highlight w:val="none"/>
          <w:shd w:val="clear" w:color="auto" w:fill="FFFFFF"/>
          <w:lang w:val="zh-CN"/>
        </w:rPr>
        <w:t>采购人收到质疑函后，将对质疑的形式和内容进行审查，如质疑函内容、格式不符合规定，采购人将告知质疑人进行补正。质疑人应当在法定质疑期限内进行补正并重新提交质疑函，拒不补正或者在法定期限内未重新提交质疑函的，为无效质疑，采购人有权不予受理。</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rPr>
        <w:t>4、</w:t>
      </w:r>
      <w:r>
        <w:rPr>
          <w:rFonts w:hint="eastAsia" w:ascii="仿宋" w:hAnsi="仿宋" w:eastAsia="仿宋" w:cs="仿宋"/>
          <w:color w:val="auto"/>
          <w:highlight w:val="none"/>
          <w:shd w:val="clear" w:color="auto" w:fill="FFFFFF"/>
          <w:lang w:val="zh-CN"/>
        </w:rPr>
        <w:t>对于内容、格式符合规定的质疑函，采购人应当在收到投标供应商的书面质疑后</w:t>
      </w:r>
      <w:r>
        <w:rPr>
          <w:rFonts w:hint="eastAsia" w:ascii="仿宋" w:hAnsi="仿宋" w:eastAsia="仿宋" w:cs="仿宋"/>
          <w:color w:val="auto"/>
          <w:highlight w:val="none"/>
          <w:shd w:val="clear" w:color="auto" w:fill="FFFFFF"/>
        </w:rPr>
        <w:t>7</w:t>
      </w:r>
      <w:r>
        <w:rPr>
          <w:rFonts w:hint="eastAsia" w:ascii="仿宋" w:hAnsi="仿宋" w:eastAsia="仿宋" w:cs="仿宋"/>
          <w:color w:val="auto"/>
          <w:highlight w:val="none"/>
          <w:shd w:val="clear" w:color="auto" w:fill="FFFFFF"/>
          <w:lang w:val="zh-CN"/>
        </w:rPr>
        <w:t>个工作日内作出答复，并以书面形式通知质疑供应商和其他有关供应商，但答复的内容不得涉及商业秘密。</w:t>
      </w:r>
    </w:p>
    <w:p>
      <w:pPr>
        <w:pStyle w:val="9"/>
        <w:widowControl/>
        <w:shd w:val="clear" w:color="auto" w:fill="FFFFFF"/>
        <w:adjustRightInd w:val="0"/>
        <w:snapToGrid w:val="0"/>
        <w:spacing w:beforeAutospacing="0" w:afterAutospacing="0" w:line="360" w:lineRule="auto"/>
        <w:ind w:firstLine="482" w:firstLineChars="200"/>
        <w:jc w:val="both"/>
        <w:rPr>
          <w:rFonts w:hint="eastAsia" w:ascii="黑体" w:hAnsi="黑体" w:eastAsia="黑体" w:cs="黑体"/>
          <w:b/>
          <w:bCs/>
          <w:color w:val="auto"/>
          <w:highlight w:val="none"/>
          <w:shd w:val="clear" w:color="auto" w:fill="FFFFFF"/>
          <w:lang w:val="zh-CN"/>
        </w:rPr>
      </w:pPr>
      <w:r>
        <w:rPr>
          <w:rFonts w:hint="eastAsia" w:ascii="黑体" w:hAnsi="黑体" w:eastAsia="黑体" w:cs="黑体"/>
          <w:b/>
          <w:bCs/>
          <w:color w:val="auto"/>
          <w:highlight w:val="none"/>
          <w:shd w:val="clear" w:color="auto" w:fill="FFFFFF"/>
          <w:lang w:val="zh-CN"/>
        </w:rPr>
        <w:t>三、响应文件</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采购文件第四章响应文件格式有提供格式的应采用提供的格式编写，未提供格式的响应供应商可自行确定格式。</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rPr>
        <w:t>1、</w:t>
      </w:r>
      <w:r>
        <w:rPr>
          <w:rFonts w:hint="eastAsia" w:ascii="仿宋" w:hAnsi="仿宋" w:eastAsia="仿宋" w:cs="仿宋"/>
          <w:color w:val="auto"/>
          <w:highlight w:val="none"/>
          <w:shd w:val="clear" w:color="auto" w:fill="FFFFFF"/>
          <w:lang w:val="zh-CN"/>
        </w:rPr>
        <w:t>响应文件组成</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宋体" w:hAnsi="宋体" w:cs="宋体"/>
          <w:color w:val="auto"/>
          <w:highlight w:val="none"/>
          <w:shd w:val="clear" w:color="auto" w:fill="FFFFFF"/>
          <w:lang w:val="zh-CN"/>
        </w:rPr>
        <w:t>★</w:t>
      </w:r>
      <w:r>
        <w:rPr>
          <w:rFonts w:hint="eastAsia" w:ascii="仿宋" w:hAnsi="仿宋" w:eastAsia="仿宋" w:cs="仿宋"/>
          <w:color w:val="auto"/>
          <w:highlight w:val="none"/>
          <w:shd w:val="clear" w:color="auto" w:fill="FFFFFF"/>
          <w:lang w:val="zh-CN"/>
        </w:rPr>
        <w:t>价格包（一正一副）</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（1）报价单；</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（2）投标函。</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宋体" w:hAnsi="宋体" w:cs="宋体"/>
          <w:color w:val="auto"/>
          <w:highlight w:val="none"/>
          <w:shd w:val="clear" w:color="auto" w:fill="FFFFFF"/>
          <w:lang w:val="zh-CN"/>
        </w:rPr>
        <w:t>★</w:t>
      </w:r>
      <w:r>
        <w:rPr>
          <w:rFonts w:hint="eastAsia" w:ascii="仿宋" w:hAnsi="仿宋" w:eastAsia="仿宋" w:cs="仿宋"/>
          <w:color w:val="auto"/>
          <w:highlight w:val="none"/>
          <w:shd w:val="clear" w:color="auto" w:fill="FFFFFF"/>
          <w:lang w:val="zh-CN"/>
        </w:rPr>
        <w:t>资格审查包（一正一副）</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（1）法定代表投标：提供法定代表人身份证明书和法定代表人身份证复印件；非法人代表投标：提供法定代表人身份证明书、法定代表人授权委托书和响应供应商代表身份证复印件；</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rPr>
        <w:t>2</w:t>
      </w:r>
      <w:r>
        <w:rPr>
          <w:rFonts w:hint="eastAsia" w:ascii="仿宋" w:hAnsi="仿宋" w:eastAsia="仿宋" w:cs="仿宋"/>
          <w:color w:val="auto"/>
          <w:highlight w:val="none"/>
          <w:shd w:val="clear" w:color="auto" w:fill="FFFFFF"/>
          <w:lang w:val="zh-CN"/>
        </w:rPr>
        <w:t>）投标人承诺书；</w:t>
      </w:r>
    </w:p>
    <w:p>
      <w:pPr>
        <w:pStyle w:val="9"/>
        <w:widowControl/>
        <w:shd w:val="clear" w:color="auto" w:fill="FFFFFF"/>
        <w:adjustRightInd w:val="0"/>
        <w:snapToGrid w:val="0"/>
        <w:spacing w:beforeAutospacing="0" w:afterAutospacing="0" w:line="360" w:lineRule="auto"/>
        <w:ind w:firstLine="480" w:firstLineChars="200"/>
        <w:jc w:val="both"/>
        <w:rPr>
          <w:rFonts w:ascii="仿宋" w:hAnsi="仿宋" w:eastAsia="仿宋" w:cs="仿宋"/>
          <w:color w:val="auto"/>
          <w:highlight w:val="none"/>
          <w:shd w:val="clear" w:color="auto" w:fill="FFFFFF"/>
        </w:rPr>
      </w:pP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rPr>
        <w:t>3</w:t>
      </w: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rPr>
        <w:t>提供</w:t>
      </w:r>
      <w:r>
        <w:rPr>
          <w:rFonts w:hint="eastAsia" w:ascii="仿宋" w:hAnsi="仿宋" w:eastAsia="仿宋" w:cs="仿宋"/>
          <w:color w:val="auto"/>
          <w:highlight w:val="none"/>
          <w:shd w:val="clear" w:color="auto" w:fill="FFFFFF"/>
          <w:lang w:val="zh-CN"/>
        </w:rPr>
        <w:t>第一章</w:t>
      </w:r>
      <w:r>
        <w:rPr>
          <w:rFonts w:hint="eastAsia" w:ascii="仿宋" w:hAnsi="仿宋" w:eastAsia="仿宋" w:cs="仿宋"/>
          <w:color w:val="auto"/>
          <w:highlight w:val="none"/>
          <w:shd w:val="clear" w:color="auto" w:fill="FFFFFF"/>
        </w:rPr>
        <w:t>采购公告中资格要求中的1-5项所需的材料；</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rPr>
        <w:t>4</w:t>
      </w:r>
      <w:r>
        <w:rPr>
          <w:rFonts w:hint="eastAsia" w:ascii="仿宋" w:hAnsi="仿宋" w:eastAsia="仿宋" w:cs="仿宋"/>
          <w:color w:val="auto"/>
          <w:highlight w:val="none"/>
          <w:shd w:val="clear" w:color="auto" w:fill="FFFFFF"/>
          <w:lang w:val="zh-CN"/>
        </w:rPr>
        <w:t>）响应供应商为投标人代表缴纳社保的证明，</w:t>
      </w:r>
      <w:r>
        <w:rPr>
          <w:rFonts w:hint="eastAsia" w:ascii="仿宋" w:hAnsi="仿宋" w:eastAsia="仿宋" w:cs="仿宋"/>
          <w:color w:val="auto"/>
          <w:highlight w:val="none"/>
          <w:shd w:val="clear" w:color="auto" w:fill="FFFFFF"/>
        </w:rPr>
        <w:t>提供开标前三个月的缴纳社会保障资金的记录材料</w:t>
      </w:r>
      <w:r>
        <w:rPr>
          <w:rFonts w:hint="eastAsia" w:ascii="仿宋" w:hAnsi="仿宋" w:eastAsia="仿宋" w:cs="仿宋"/>
          <w:color w:val="auto"/>
          <w:highlight w:val="none"/>
          <w:shd w:val="clear" w:color="auto" w:fill="FFFFFF"/>
          <w:lang w:val="zh-CN"/>
        </w:rPr>
        <w:t>。法定代表人参加投标的，不用提供其缴纳社保的证明。</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宋体" w:hAnsi="宋体" w:cs="宋体"/>
          <w:color w:val="auto"/>
          <w:highlight w:val="none"/>
          <w:shd w:val="clear" w:color="auto" w:fill="FFFFFF"/>
          <w:lang w:val="zh-CN"/>
        </w:rPr>
        <w:t>★</w:t>
      </w:r>
      <w:r>
        <w:rPr>
          <w:rFonts w:hint="eastAsia" w:ascii="仿宋" w:hAnsi="仿宋" w:eastAsia="仿宋" w:cs="仿宋"/>
          <w:color w:val="auto"/>
          <w:highlight w:val="none"/>
          <w:shd w:val="clear" w:color="auto" w:fill="FFFFFF"/>
          <w:lang w:val="zh-CN"/>
        </w:rPr>
        <w:t>商务技术包（一正一副）</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rPr>
        <w:t>1</w:t>
      </w:r>
      <w:r>
        <w:rPr>
          <w:rFonts w:hint="eastAsia" w:ascii="仿宋" w:hAnsi="仿宋" w:eastAsia="仿宋" w:cs="仿宋"/>
          <w:color w:val="auto"/>
          <w:highlight w:val="none"/>
          <w:shd w:val="clear" w:color="auto" w:fill="FFFFFF"/>
          <w:lang w:val="zh-CN"/>
        </w:rPr>
        <w:t>）技术偏离表；</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rPr>
        <w:t>2</w:t>
      </w:r>
      <w:r>
        <w:rPr>
          <w:rFonts w:hint="eastAsia" w:ascii="仿宋" w:hAnsi="仿宋" w:eastAsia="仿宋" w:cs="仿宋"/>
          <w:color w:val="auto"/>
          <w:highlight w:val="none"/>
          <w:shd w:val="clear" w:color="auto" w:fill="FFFFFF"/>
          <w:lang w:val="zh-CN"/>
        </w:rPr>
        <w:t>）按技术要求所需提供的材料；</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rPr>
        <w:t>3</w:t>
      </w:r>
      <w:r>
        <w:rPr>
          <w:rFonts w:hint="eastAsia" w:ascii="仿宋" w:hAnsi="仿宋" w:eastAsia="仿宋" w:cs="仿宋"/>
          <w:color w:val="auto"/>
          <w:highlight w:val="none"/>
          <w:shd w:val="clear" w:color="auto" w:fill="FFFFFF"/>
          <w:lang w:val="zh-CN"/>
        </w:rPr>
        <w:t>）商务偏离表；</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rPr>
        <w:t>4</w:t>
      </w:r>
      <w:r>
        <w:rPr>
          <w:rFonts w:hint="eastAsia" w:ascii="仿宋" w:hAnsi="仿宋" w:eastAsia="仿宋" w:cs="仿宋"/>
          <w:color w:val="auto"/>
          <w:highlight w:val="none"/>
          <w:shd w:val="clear" w:color="auto" w:fill="FFFFFF"/>
          <w:lang w:val="zh-CN"/>
        </w:rPr>
        <w:t>）按商务要求所需提供的材料；</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rPr>
        <w:t>5</w:t>
      </w:r>
      <w:r>
        <w:rPr>
          <w:rFonts w:hint="eastAsia" w:ascii="仿宋" w:hAnsi="仿宋" w:eastAsia="仿宋" w:cs="仿宋"/>
          <w:color w:val="auto"/>
          <w:highlight w:val="none"/>
          <w:shd w:val="clear" w:color="auto" w:fill="FFFFFF"/>
          <w:lang w:val="zh-CN"/>
        </w:rPr>
        <w:t>）其他采购文件要求和响应供应商自认为应该提供的材料。</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2、响应文件编制</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rPr>
        <w:t>1</w:t>
      </w:r>
      <w:r>
        <w:rPr>
          <w:rFonts w:hint="eastAsia" w:ascii="仿宋" w:hAnsi="仿宋" w:eastAsia="仿宋" w:cs="仿宋"/>
          <w:color w:val="auto"/>
          <w:highlight w:val="none"/>
          <w:shd w:val="clear" w:color="auto" w:fill="FFFFFF"/>
          <w:lang w:val="zh-CN"/>
        </w:rPr>
        <w:t>）响应文件的正本和副本均可双面打印，字迹应清晰易于辨认，并在响应文件封面的右上角清楚地注明“正本”或“副本”。正本与副本应分别装订成册（不可散装或有活页），并编制目录及页码，正本和副本有不一致之处，以正本为准。</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rPr>
        <w:t>2</w:t>
      </w:r>
      <w:r>
        <w:rPr>
          <w:rFonts w:hint="eastAsia" w:ascii="仿宋" w:hAnsi="仿宋" w:eastAsia="仿宋" w:cs="仿宋"/>
          <w:color w:val="auto"/>
          <w:highlight w:val="none"/>
          <w:shd w:val="clear" w:color="auto" w:fill="FFFFFF"/>
          <w:lang w:val="zh-CN"/>
        </w:rPr>
        <w:t>）响应文件应用不褪色的</w:t>
      </w:r>
      <w:r>
        <w:rPr>
          <w:rFonts w:hint="eastAsia" w:ascii="仿宋" w:hAnsi="仿宋" w:eastAsia="仿宋" w:cs="仿宋"/>
          <w:color w:val="auto"/>
          <w:highlight w:val="none"/>
          <w:shd w:val="clear" w:color="auto" w:fill="FFFFFF"/>
        </w:rPr>
        <w:t>A4</w:t>
      </w:r>
      <w:r>
        <w:rPr>
          <w:rFonts w:hint="eastAsia" w:ascii="仿宋" w:hAnsi="仿宋" w:eastAsia="仿宋" w:cs="仿宋"/>
          <w:color w:val="auto"/>
          <w:highlight w:val="none"/>
          <w:shd w:val="clear" w:color="auto" w:fill="FFFFFF"/>
          <w:lang w:val="zh-CN"/>
        </w:rPr>
        <w:t>（图纸除外，若页面大于A4，应叠成A4页面大小）材料书写或打印，响应文件副本可为正本（经签字盖章后）的复印件。</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rPr>
        <w:t>3</w:t>
      </w:r>
      <w:r>
        <w:rPr>
          <w:rFonts w:hint="eastAsia" w:ascii="仿宋" w:hAnsi="仿宋" w:eastAsia="仿宋" w:cs="仿宋"/>
          <w:color w:val="auto"/>
          <w:highlight w:val="none"/>
          <w:shd w:val="clear" w:color="auto" w:fill="FFFFFF"/>
          <w:lang w:val="zh-CN"/>
        </w:rPr>
        <w:t>）投标文件中金额应清晰易于辨认，大写和小写有不一致之处，以大写为准。</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3、响应文件签署</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rPr>
        <w:t>1</w:t>
      </w:r>
      <w:r>
        <w:rPr>
          <w:rFonts w:hint="eastAsia" w:ascii="仿宋" w:hAnsi="仿宋" w:eastAsia="仿宋" w:cs="仿宋"/>
          <w:color w:val="auto"/>
          <w:highlight w:val="none"/>
          <w:shd w:val="clear" w:color="auto" w:fill="FFFFFF"/>
          <w:lang w:val="zh-CN"/>
        </w:rPr>
        <w:t>）响应文件封面或者扉页、投标函及其附录及相应有要求的部位均应加盖单位章并经法定代表人或其授权的代理人签字确认（签字可使用签名章代替）。</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rPr>
        <w:t>2</w:t>
      </w:r>
      <w:r>
        <w:rPr>
          <w:rFonts w:hint="eastAsia" w:ascii="仿宋" w:hAnsi="仿宋" w:eastAsia="仿宋" w:cs="仿宋"/>
          <w:color w:val="auto"/>
          <w:highlight w:val="none"/>
          <w:shd w:val="clear" w:color="auto" w:fill="FFFFFF"/>
          <w:lang w:val="zh-CN"/>
        </w:rPr>
        <w:t>）响应文件应尽量避免涂改、行间插字或删除。如果出现上述情况，改动之处应加盖单位章或由响应供应商的法定代表人或其授权的代理人签字确认。</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rPr>
        <w:t>4</w:t>
      </w:r>
      <w:r>
        <w:rPr>
          <w:rFonts w:hint="eastAsia" w:ascii="仿宋" w:hAnsi="仿宋" w:eastAsia="仿宋" w:cs="仿宋"/>
          <w:color w:val="auto"/>
          <w:highlight w:val="none"/>
          <w:shd w:val="clear" w:color="auto" w:fill="FFFFFF"/>
          <w:lang w:val="zh-CN"/>
        </w:rPr>
        <w:t>、响应文件密封</w:t>
      </w:r>
    </w:p>
    <w:p>
      <w:pPr>
        <w:pStyle w:val="9"/>
        <w:widowControl/>
        <w:shd w:val="clear" w:color="auto" w:fill="FFFFFF"/>
        <w:tabs>
          <w:tab w:val="left" w:pos="420"/>
        </w:tabs>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rPr>
        <w:t>1</w:t>
      </w:r>
      <w:r>
        <w:rPr>
          <w:rFonts w:hint="eastAsia" w:ascii="仿宋" w:hAnsi="仿宋" w:eastAsia="仿宋" w:cs="仿宋"/>
          <w:color w:val="auto"/>
          <w:highlight w:val="none"/>
          <w:shd w:val="clear" w:color="auto" w:fill="FFFFFF"/>
          <w:lang w:val="zh-CN"/>
        </w:rPr>
        <w:t>）响应文件封套加贴封条，并在封套的封口处加盖响应供应商单位章。</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rPr>
        <w:t>2</w:t>
      </w:r>
      <w:r>
        <w:rPr>
          <w:rFonts w:hint="eastAsia" w:ascii="仿宋" w:hAnsi="仿宋" w:eastAsia="仿宋" w:cs="仿宋"/>
          <w:color w:val="auto"/>
          <w:highlight w:val="none"/>
          <w:shd w:val="clear" w:color="auto" w:fill="FFFFFF"/>
          <w:lang w:val="zh-CN"/>
        </w:rPr>
        <w:t>）响应文件及材料原则上分</w:t>
      </w:r>
      <w:r>
        <w:rPr>
          <w:rFonts w:hint="eastAsia" w:ascii="仿宋" w:hAnsi="仿宋" w:eastAsia="仿宋" w:cs="仿宋"/>
          <w:color w:val="auto"/>
          <w:highlight w:val="none"/>
          <w:shd w:val="clear" w:color="auto" w:fill="FFFFFF"/>
        </w:rPr>
        <w:t>3</w:t>
      </w:r>
      <w:r>
        <w:rPr>
          <w:rFonts w:hint="eastAsia" w:ascii="仿宋" w:hAnsi="仿宋" w:eastAsia="仿宋" w:cs="仿宋"/>
          <w:color w:val="auto"/>
          <w:highlight w:val="none"/>
          <w:shd w:val="clear" w:color="auto" w:fill="FFFFFF"/>
          <w:lang w:val="zh-CN"/>
        </w:rPr>
        <w:t>个封套递交，“价格包”、“资格审查包”、“商务技术</w:t>
      </w:r>
      <w:r>
        <w:rPr>
          <w:rFonts w:hint="eastAsia" w:ascii="仿宋" w:hAnsi="仿宋" w:eastAsia="仿宋" w:cs="仿宋"/>
          <w:color w:val="auto"/>
          <w:highlight w:val="none"/>
          <w:shd w:val="clear" w:color="auto" w:fill="FFFFFF"/>
        </w:rPr>
        <w:t>包</w:t>
      </w:r>
      <w:r>
        <w:rPr>
          <w:rFonts w:hint="eastAsia" w:ascii="仿宋" w:hAnsi="仿宋" w:eastAsia="仿宋" w:cs="仿宋"/>
          <w:color w:val="auto"/>
          <w:highlight w:val="none"/>
          <w:shd w:val="clear" w:color="auto" w:fill="FFFFFF"/>
          <w:lang w:val="zh-CN"/>
        </w:rPr>
        <w:t>”。</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rPr>
        <w:t>5</w:t>
      </w:r>
      <w:r>
        <w:rPr>
          <w:rFonts w:hint="eastAsia" w:ascii="仿宋" w:hAnsi="仿宋" w:eastAsia="仿宋" w:cs="仿宋"/>
          <w:color w:val="auto"/>
          <w:highlight w:val="none"/>
          <w:shd w:val="clear" w:color="auto" w:fill="FFFFFF"/>
          <w:lang w:val="zh-CN"/>
        </w:rPr>
        <w:t>、响应文件标记</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响应文件的封套上应写明的其他内容：</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（1）采购人名称、标段项目名称、响应供应商的名称及“价格包”、“资格审查包”、“商务技术</w:t>
      </w:r>
      <w:r>
        <w:rPr>
          <w:rFonts w:hint="eastAsia" w:ascii="仿宋" w:hAnsi="仿宋" w:eastAsia="仿宋" w:cs="仿宋"/>
          <w:color w:val="auto"/>
          <w:highlight w:val="none"/>
          <w:shd w:val="clear" w:color="auto" w:fill="FFFFFF"/>
        </w:rPr>
        <w:t>包</w:t>
      </w:r>
      <w:r>
        <w:rPr>
          <w:rFonts w:hint="eastAsia" w:ascii="仿宋" w:hAnsi="仿宋" w:eastAsia="仿宋" w:cs="仿宋"/>
          <w:color w:val="auto"/>
          <w:highlight w:val="none"/>
          <w:shd w:val="clear" w:color="auto" w:fill="FFFFFF"/>
          <w:lang w:val="zh-CN"/>
        </w:rPr>
        <w:t>”</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rPr>
        <w:t>2</w:t>
      </w:r>
      <w:r>
        <w:rPr>
          <w:rFonts w:hint="eastAsia" w:ascii="仿宋" w:hAnsi="仿宋" w:eastAsia="仿宋" w:cs="仿宋"/>
          <w:color w:val="auto"/>
          <w:highlight w:val="none"/>
          <w:shd w:val="clear" w:color="auto" w:fill="FFFFFF"/>
          <w:lang w:val="zh-CN"/>
        </w:rPr>
        <w:t>）在年月日时分前（即开标时间）不得开启。</w:t>
      </w:r>
    </w:p>
    <w:p>
      <w:pPr>
        <w:pStyle w:val="9"/>
        <w:widowControl/>
        <w:shd w:val="clear" w:color="auto" w:fill="FFFFFF"/>
        <w:adjustRightInd w:val="0"/>
        <w:snapToGrid w:val="0"/>
        <w:spacing w:beforeAutospacing="0" w:afterAutospacing="0" w:line="360" w:lineRule="auto"/>
        <w:ind w:firstLine="482" w:firstLineChars="200"/>
        <w:jc w:val="both"/>
        <w:rPr>
          <w:rFonts w:hint="eastAsia" w:ascii="黑体" w:hAnsi="黑体" w:eastAsia="黑体" w:cs="黑体"/>
          <w:b/>
          <w:bCs/>
          <w:color w:val="auto"/>
          <w:highlight w:val="none"/>
          <w:shd w:val="clear" w:color="auto" w:fill="FFFFFF"/>
          <w:lang w:val="zh-CN"/>
        </w:rPr>
      </w:pPr>
      <w:r>
        <w:rPr>
          <w:rFonts w:hint="eastAsia" w:ascii="黑体" w:hAnsi="黑体" w:eastAsia="黑体" w:cs="黑体"/>
          <w:b/>
          <w:bCs/>
          <w:color w:val="auto"/>
          <w:highlight w:val="none"/>
          <w:shd w:val="clear" w:color="auto" w:fill="FFFFFF"/>
        </w:rPr>
        <w:t>四、</w:t>
      </w:r>
      <w:r>
        <w:rPr>
          <w:rFonts w:hint="eastAsia" w:ascii="黑体" w:hAnsi="黑体" w:eastAsia="黑体" w:cs="黑体"/>
          <w:b/>
          <w:bCs/>
          <w:color w:val="auto"/>
          <w:highlight w:val="none"/>
          <w:shd w:val="clear" w:color="auto" w:fill="FFFFFF"/>
          <w:lang w:val="zh-CN"/>
        </w:rPr>
        <w:t>投标报价</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240" w:lineRule="auto"/>
        <w:ind w:firstLine="480" w:firstLineChars="200"/>
        <w:jc w:val="both"/>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rPr>
        <w:t>1、</w:t>
      </w:r>
      <w:r>
        <w:rPr>
          <w:rFonts w:hint="eastAsia" w:ascii="仿宋" w:hAnsi="仿宋" w:eastAsia="仿宋" w:cs="仿宋"/>
          <w:highlight w:val="none"/>
          <w:shd w:val="clear" w:color="auto" w:fill="FFFFFF"/>
          <w:lang w:val="zh-CN"/>
        </w:rPr>
        <w:t>投标有效期。递交响应文件截止之日起的</w:t>
      </w:r>
      <w:r>
        <w:rPr>
          <w:rFonts w:hint="eastAsia" w:ascii="仿宋" w:hAnsi="仿宋" w:eastAsia="仿宋" w:cs="仿宋"/>
          <w:highlight w:val="none"/>
          <w:shd w:val="clear" w:color="auto" w:fill="FFFFFF"/>
        </w:rPr>
        <w:t>60</w:t>
      </w:r>
      <w:r>
        <w:rPr>
          <w:rFonts w:hint="eastAsia" w:ascii="仿宋" w:hAnsi="仿宋" w:eastAsia="仿宋" w:cs="仿宋"/>
          <w:highlight w:val="none"/>
          <w:shd w:val="clear" w:color="auto" w:fill="FFFFFF"/>
          <w:lang w:val="zh-CN"/>
        </w:rPr>
        <w:t>天；</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240" w:lineRule="auto"/>
        <w:ind w:firstLine="480" w:firstLineChars="200"/>
        <w:jc w:val="both"/>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rPr>
        <w:t>2、</w:t>
      </w:r>
      <w:r>
        <w:rPr>
          <w:rFonts w:hint="eastAsia" w:ascii="仿宋" w:hAnsi="仿宋" w:eastAsia="仿宋" w:cs="仿宋"/>
          <w:highlight w:val="none"/>
          <w:shd w:val="clear" w:color="auto" w:fill="FFFFFF"/>
          <w:lang w:val="zh-CN"/>
        </w:rPr>
        <w:t>最高含税限价为：人民币贰万壹仟元整（</w:t>
      </w:r>
      <w:r>
        <w:rPr>
          <w:rFonts w:hint="eastAsia" w:ascii="仿宋" w:hAnsi="仿宋" w:eastAsia="仿宋" w:cs="仿宋"/>
          <w:highlight w:val="none"/>
          <w:shd w:val="clear" w:color="auto" w:fill="FFFFFF"/>
          <w:lang w:val="en-US" w:eastAsia="zh-CN"/>
        </w:rPr>
        <w:t>21000.00元</w:t>
      </w:r>
      <w:r>
        <w:rPr>
          <w:rFonts w:hint="eastAsia" w:ascii="仿宋" w:hAnsi="仿宋" w:eastAsia="仿宋" w:cs="仿宋"/>
          <w:highlight w:val="none"/>
          <w:shd w:val="clear" w:color="auto" w:fill="FFFFFF"/>
          <w:lang w:val="zh-CN"/>
        </w:rPr>
        <w:t>）；</w:t>
      </w:r>
    </w:p>
    <w:p>
      <w:pPr>
        <w:pStyle w:val="9"/>
        <w:pageBreakBefore w:val="0"/>
        <w:widowControl/>
        <w:shd w:val="clear" w:color="auto" w:fill="FFFFFF"/>
        <w:kinsoku/>
        <w:wordWrap/>
        <w:overflowPunct/>
        <w:bidi w:val="0"/>
        <w:adjustRightInd w:val="0"/>
        <w:snapToGrid w:val="0"/>
        <w:spacing w:before="157" w:beforeLines="50" w:beforeAutospacing="0" w:after="157" w:afterLines="50" w:afterAutospacing="0" w:line="240" w:lineRule="auto"/>
        <w:ind w:firstLine="480" w:firstLineChars="200"/>
        <w:jc w:val="both"/>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zh-CN"/>
        </w:rPr>
        <w:t>3、响应人对密封电动三轮车采购项目进行报价，报价包含与项目相关的所有费用，利润、税金、</w:t>
      </w:r>
      <w:r>
        <w:rPr>
          <w:rFonts w:hint="eastAsia" w:ascii="仿宋" w:hAnsi="仿宋" w:eastAsia="仿宋" w:cs="仿宋"/>
          <w:highlight w:val="none"/>
          <w:shd w:val="clear" w:color="auto" w:fill="FFFFFF"/>
          <w:lang w:val="en-US" w:eastAsia="zh-CN"/>
        </w:rPr>
        <w:t>保险、上牌费</w:t>
      </w:r>
      <w:r>
        <w:rPr>
          <w:rFonts w:hint="eastAsia" w:ascii="仿宋" w:hAnsi="仿宋" w:eastAsia="仿宋" w:cs="仿宋"/>
          <w:highlight w:val="none"/>
          <w:shd w:val="clear" w:color="auto" w:fill="FFFFFF"/>
          <w:lang w:val="zh-CN"/>
        </w:rPr>
        <w:t>等所有所需的一切费用。签订合同后不论政策调整、市场价格波动等任何因素，在合同履约过程中一律不予调整。</w:t>
      </w:r>
    </w:p>
    <w:p>
      <w:pPr>
        <w:pStyle w:val="9"/>
        <w:widowControl/>
        <w:shd w:val="clear" w:color="auto" w:fill="FFFFFF"/>
        <w:adjustRightInd w:val="0"/>
        <w:snapToGrid w:val="0"/>
        <w:spacing w:beforeAutospacing="0" w:afterAutospacing="0" w:line="360" w:lineRule="auto"/>
        <w:ind w:firstLine="482" w:firstLineChars="200"/>
        <w:jc w:val="both"/>
        <w:rPr>
          <w:rFonts w:hint="eastAsia" w:ascii="黑体" w:hAnsi="黑体" w:eastAsia="黑体" w:cs="黑体"/>
          <w:b/>
          <w:bCs/>
          <w:color w:val="auto"/>
          <w:highlight w:val="none"/>
          <w:shd w:val="clear" w:color="auto" w:fill="FFFFFF"/>
          <w:lang w:val="zh-CN"/>
        </w:rPr>
      </w:pPr>
      <w:r>
        <w:rPr>
          <w:rFonts w:hint="eastAsia" w:ascii="黑体" w:hAnsi="黑体" w:eastAsia="黑体" w:cs="黑体"/>
          <w:b/>
          <w:bCs/>
          <w:color w:val="auto"/>
          <w:highlight w:val="none"/>
          <w:shd w:val="clear" w:color="auto" w:fill="FFFFFF"/>
          <w:lang w:val="zh-CN"/>
        </w:rPr>
        <w:t>五、开标程序</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rPr>
        <w:t>1、</w:t>
      </w:r>
      <w:r>
        <w:rPr>
          <w:rFonts w:hint="eastAsia" w:ascii="仿宋" w:hAnsi="仿宋" w:eastAsia="仿宋" w:cs="仿宋"/>
          <w:color w:val="auto"/>
          <w:highlight w:val="none"/>
          <w:shd w:val="clear" w:color="auto" w:fill="FFFFFF"/>
          <w:lang w:val="zh-CN"/>
        </w:rPr>
        <w:t>开标截止时间后公布递交响应文件的响应供应商名称；</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rPr>
        <w:t>2、</w:t>
      </w:r>
      <w:r>
        <w:rPr>
          <w:rFonts w:hint="eastAsia" w:ascii="仿宋" w:hAnsi="仿宋" w:eastAsia="仿宋" w:cs="仿宋"/>
          <w:color w:val="auto"/>
          <w:highlight w:val="none"/>
          <w:shd w:val="clear" w:color="auto" w:fill="FFFFFF"/>
          <w:lang w:val="zh-CN"/>
        </w:rPr>
        <w:t>招标人对所有响应文件的密封、标记等情况进行核查，记录在案；</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rPr>
        <w:t>3、</w:t>
      </w:r>
      <w:r>
        <w:rPr>
          <w:rFonts w:hint="eastAsia" w:ascii="仿宋" w:hAnsi="仿宋" w:eastAsia="仿宋" w:cs="仿宋"/>
          <w:color w:val="auto"/>
          <w:highlight w:val="none"/>
          <w:shd w:val="clear" w:color="auto" w:fill="FFFFFF"/>
          <w:lang w:val="zh-CN"/>
        </w:rPr>
        <w:t>评标委员对响应供应商资格、商务技术响应性进行审查；</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rPr>
        <w:t>4、</w:t>
      </w:r>
      <w:r>
        <w:rPr>
          <w:rFonts w:hint="eastAsia" w:ascii="仿宋" w:hAnsi="仿宋" w:eastAsia="仿宋" w:cs="仿宋"/>
          <w:color w:val="auto"/>
          <w:highlight w:val="none"/>
          <w:shd w:val="clear" w:color="auto" w:fill="FFFFFF"/>
          <w:lang w:val="zh-CN"/>
        </w:rPr>
        <w:t>按照宣布的开标顺序现场开标，公布合格响应供应商名称、标段名称、投标报价及其他内容，并记录在案；</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rPr>
        <w:t>5、</w:t>
      </w:r>
      <w:r>
        <w:rPr>
          <w:rFonts w:hint="eastAsia" w:ascii="仿宋" w:hAnsi="仿宋" w:eastAsia="仿宋" w:cs="仿宋"/>
          <w:color w:val="auto"/>
          <w:highlight w:val="none"/>
          <w:shd w:val="clear" w:color="auto" w:fill="FFFFFF"/>
          <w:lang w:val="zh-CN"/>
        </w:rPr>
        <w:t>公布采购结果。</w:t>
      </w:r>
    </w:p>
    <w:p>
      <w:pPr>
        <w:pStyle w:val="9"/>
        <w:widowControl/>
        <w:shd w:val="clear" w:color="auto" w:fill="FFFFFF"/>
        <w:adjustRightInd w:val="0"/>
        <w:snapToGrid w:val="0"/>
        <w:spacing w:beforeAutospacing="0" w:afterAutospacing="0" w:line="360" w:lineRule="auto"/>
        <w:ind w:firstLine="482" w:firstLineChars="200"/>
        <w:jc w:val="both"/>
        <w:rPr>
          <w:rFonts w:hint="eastAsia" w:ascii="黑体" w:hAnsi="黑体" w:eastAsia="黑体" w:cs="黑体"/>
          <w:b/>
          <w:bCs/>
          <w:color w:val="auto"/>
          <w:highlight w:val="none"/>
          <w:shd w:val="clear" w:color="auto" w:fill="FFFFFF"/>
          <w:lang w:val="zh-CN"/>
        </w:rPr>
      </w:pPr>
      <w:r>
        <w:rPr>
          <w:rFonts w:hint="eastAsia" w:ascii="黑体" w:hAnsi="黑体" w:eastAsia="黑体" w:cs="黑体"/>
          <w:b/>
          <w:bCs/>
          <w:color w:val="auto"/>
          <w:highlight w:val="none"/>
          <w:shd w:val="clear" w:color="auto" w:fill="FFFFFF"/>
        </w:rPr>
        <w:t>六、</w:t>
      </w:r>
      <w:r>
        <w:rPr>
          <w:rFonts w:hint="eastAsia" w:ascii="黑体" w:hAnsi="黑体" w:eastAsia="黑体" w:cs="黑体"/>
          <w:b/>
          <w:bCs/>
          <w:color w:val="auto"/>
          <w:highlight w:val="none"/>
          <w:shd w:val="clear" w:color="auto" w:fill="FFFFFF"/>
          <w:lang w:val="zh-CN"/>
        </w:rPr>
        <w:t>评标方法</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zh-CN"/>
        </w:rPr>
        <w:t>以最低评标价法评标，以税前价格为评标价。</w:t>
      </w:r>
    </w:p>
    <w:p>
      <w:pPr>
        <w:pStyle w:val="9"/>
        <w:widowControl/>
        <w:shd w:val="clear" w:color="auto" w:fill="FFFFFF"/>
        <w:adjustRightInd w:val="0"/>
        <w:snapToGrid w:val="0"/>
        <w:spacing w:beforeAutospacing="0" w:afterAutospacing="0" w:line="360" w:lineRule="auto"/>
        <w:ind w:firstLine="482" w:firstLineChars="200"/>
        <w:jc w:val="both"/>
        <w:rPr>
          <w:rFonts w:hint="eastAsia" w:ascii="黑体" w:hAnsi="黑体" w:eastAsia="黑体" w:cs="黑体"/>
          <w:b/>
          <w:bCs/>
          <w:color w:val="auto"/>
          <w:highlight w:val="none"/>
          <w:shd w:val="clear" w:color="auto" w:fill="FFFFFF"/>
          <w:lang w:val="zh-CN"/>
        </w:rPr>
      </w:pPr>
      <w:r>
        <w:rPr>
          <w:rFonts w:hint="eastAsia" w:ascii="黑体" w:hAnsi="黑体" w:eastAsia="黑体" w:cs="黑体"/>
          <w:b/>
          <w:bCs/>
          <w:color w:val="auto"/>
          <w:highlight w:val="none"/>
          <w:shd w:val="clear" w:color="auto" w:fill="FFFFFF"/>
        </w:rPr>
        <w:t>七、</w:t>
      </w:r>
      <w:r>
        <w:rPr>
          <w:rFonts w:hint="eastAsia" w:ascii="黑体" w:hAnsi="黑体" w:eastAsia="黑体" w:cs="黑体"/>
          <w:b/>
          <w:bCs/>
          <w:color w:val="auto"/>
          <w:highlight w:val="none"/>
          <w:shd w:val="clear" w:color="auto" w:fill="FFFFFF"/>
          <w:lang w:val="zh-CN"/>
        </w:rPr>
        <w:t>合同授予</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定标方式</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（1）采购人根据评标委员会提出的书面报告，确定报价最低的响应供应商为中标人。</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如果报价最低的中标候选人放弃中标、因不可抗力提出不能履行合同或者采购文件规定应当提交履约担保而在规定期限未能提交的，采购人将依法确定报价次低的响应供应商为中标人，依此类推，当所有中标候选人因上述原因不能签订合同的，采购人将依法重新招标。</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中标公示</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在南通兴东国际机场官网公布采购结果，公示期为3日。</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履约担保（</w:t>
      </w:r>
      <w:r>
        <w:rPr>
          <w:rFonts w:hint="eastAsia" w:ascii="仿宋" w:hAnsi="仿宋" w:eastAsia="仿宋" w:cs="仿宋"/>
          <w:highlight w:val="none"/>
          <w:shd w:val="clear" w:color="auto" w:fill="FFFFFF"/>
          <w:lang w:val="en-US" w:eastAsia="zh-CN"/>
        </w:rPr>
        <w:t>若有</w:t>
      </w:r>
      <w:r>
        <w:rPr>
          <w:rFonts w:hint="eastAsia" w:ascii="仿宋" w:hAnsi="仿宋" w:eastAsia="仿宋" w:cs="仿宋"/>
          <w:highlight w:val="none"/>
          <w:shd w:val="clear" w:color="auto" w:fill="FFFFFF"/>
          <w:lang w:val="zh-CN" w:eastAsia="zh-CN"/>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在签订合同前，中标人应向采购人提交履约金，中标人不能提交履约担保的，视为放弃中标，其投标保证金不予退还，给采购人造成的损失超过投标保证金数额的，中标人还应当对超过部分予以赔偿。履约金在合同履行完成后无息退还。</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rPr>
        <w:t>4、</w:t>
      </w:r>
      <w:r>
        <w:rPr>
          <w:rFonts w:hint="eastAsia" w:ascii="仿宋" w:hAnsi="仿宋" w:eastAsia="仿宋" w:cs="仿宋"/>
          <w:color w:val="auto"/>
          <w:highlight w:val="none"/>
          <w:shd w:val="clear" w:color="auto" w:fill="FFFFFF"/>
          <w:lang w:val="zh-CN"/>
        </w:rPr>
        <w:t>签订合同</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color w:val="auto"/>
          <w:highlight w:val="none"/>
          <w:shd w:val="clear" w:color="auto" w:fill="FFFFFF"/>
          <w:lang w:val="zh-CN"/>
        </w:rPr>
        <w:t>中标人应当自中标通知书发出之日起30天内，根据采购文件和中标人的响应文件与</w:t>
      </w:r>
      <w:r>
        <w:rPr>
          <w:rFonts w:hint="eastAsia" w:ascii="仿宋" w:hAnsi="仿宋" w:eastAsia="仿宋" w:cs="仿宋"/>
          <w:color w:val="auto"/>
          <w:highlight w:val="none"/>
          <w:shd w:val="clear" w:color="auto" w:fill="FFFFFF"/>
          <w:lang w:val="en-US" w:eastAsia="zh-CN"/>
        </w:rPr>
        <w:t>南通机场集团有限公司</w:t>
      </w:r>
      <w:r>
        <w:rPr>
          <w:rFonts w:hint="eastAsia" w:ascii="仿宋" w:hAnsi="仿宋" w:eastAsia="仿宋" w:cs="仿宋"/>
          <w:color w:val="auto"/>
          <w:highlight w:val="none"/>
          <w:shd w:val="clear" w:color="auto" w:fill="FFFFFF"/>
          <w:lang w:val="zh-CN"/>
        </w:rPr>
        <w:t>订立书面合同。</w:t>
      </w:r>
      <w:r>
        <w:rPr>
          <w:rFonts w:hint="eastAsia" w:ascii="仿宋" w:hAnsi="仿宋" w:eastAsia="仿宋" w:cs="仿宋"/>
          <w:highlight w:val="none"/>
          <w:shd w:val="clear" w:color="auto" w:fill="FFFFFF"/>
          <w:lang w:val="zh-CN" w:eastAsia="zh-CN"/>
        </w:rPr>
        <w:t>中标人无正当理由拒签合同的，采购人取消其中标资格，给采购人造成的损失，中标人应当予以赔偿。</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p>
    <w:p>
      <w:pPr>
        <w:pStyle w:val="9"/>
        <w:widowControl/>
        <w:shd w:val="clear" w:color="auto" w:fill="FFFFFF"/>
        <w:adjustRightInd w:val="0"/>
        <w:snapToGrid w:val="0"/>
        <w:spacing w:beforeAutospacing="0" w:afterAutospacing="0" w:line="360" w:lineRule="auto"/>
        <w:ind w:firstLine="482" w:firstLineChars="200"/>
        <w:jc w:val="both"/>
        <w:rPr>
          <w:rFonts w:hint="eastAsia" w:ascii="黑体" w:hAnsi="黑体" w:eastAsia="黑体" w:cs="黑体"/>
          <w:b/>
          <w:bCs/>
          <w:color w:val="auto"/>
          <w:highlight w:val="none"/>
          <w:shd w:val="clear" w:color="auto" w:fill="FFFFFF"/>
          <w:lang w:val="zh-CN"/>
        </w:rPr>
      </w:pPr>
      <w:r>
        <w:rPr>
          <w:rFonts w:hint="eastAsia" w:ascii="黑体" w:hAnsi="黑体" w:eastAsia="黑体" w:cs="黑体"/>
          <w:b/>
          <w:bCs/>
          <w:color w:val="auto"/>
          <w:highlight w:val="none"/>
          <w:shd w:val="clear" w:color="auto" w:fill="FFFFFF"/>
        </w:rPr>
        <w:t>八、无效投标、废标、</w:t>
      </w:r>
      <w:r>
        <w:rPr>
          <w:rFonts w:hint="eastAsia" w:ascii="黑体" w:hAnsi="黑体" w:eastAsia="黑体" w:cs="黑体"/>
          <w:b/>
          <w:bCs/>
          <w:color w:val="auto"/>
          <w:highlight w:val="none"/>
          <w:shd w:val="clear" w:color="auto" w:fill="FFFFFF"/>
          <w:lang w:val="zh-CN"/>
        </w:rPr>
        <w:t>重新招标和不再招标</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rPr>
        <w:t>1、</w:t>
      </w:r>
      <w:r>
        <w:rPr>
          <w:rFonts w:hint="eastAsia" w:ascii="仿宋" w:hAnsi="仿宋" w:eastAsia="仿宋" w:cs="仿宋"/>
          <w:color w:val="auto"/>
          <w:highlight w:val="none"/>
          <w:shd w:val="clear" w:color="auto" w:fill="FFFFFF"/>
          <w:lang w:val="zh-CN"/>
        </w:rPr>
        <w:t>无效投标</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lang w:val="en-US" w:eastAsia="zh-CN"/>
        </w:rPr>
        <w:t>1</w:t>
      </w:r>
      <w:r>
        <w:rPr>
          <w:rFonts w:hint="eastAsia" w:ascii="仿宋" w:hAnsi="仿宋" w:eastAsia="仿宋" w:cs="仿宋"/>
          <w:color w:val="auto"/>
          <w:highlight w:val="none"/>
          <w:shd w:val="clear" w:color="auto" w:fill="FFFFFF"/>
          <w:lang w:val="zh-CN"/>
        </w:rPr>
        <w:t>）响应文件未按采购文件要求签署、盖章的；</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lang w:val="en-US" w:eastAsia="zh-CN"/>
        </w:rPr>
        <w:t>2</w:t>
      </w:r>
      <w:r>
        <w:rPr>
          <w:rFonts w:hint="eastAsia" w:ascii="仿宋" w:hAnsi="仿宋" w:eastAsia="仿宋" w:cs="仿宋"/>
          <w:color w:val="auto"/>
          <w:highlight w:val="none"/>
          <w:shd w:val="clear" w:color="auto" w:fill="FFFFFF"/>
          <w:lang w:val="zh-CN"/>
        </w:rPr>
        <w:t>）响应供应商在报价时采用选择性报价；</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lang w:val="en-US" w:eastAsia="zh-CN"/>
        </w:rPr>
        <w:t>3</w:t>
      </w:r>
      <w:r>
        <w:rPr>
          <w:rFonts w:hint="eastAsia" w:ascii="仿宋" w:hAnsi="仿宋" w:eastAsia="仿宋" w:cs="仿宋"/>
          <w:color w:val="auto"/>
          <w:highlight w:val="none"/>
          <w:shd w:val="clear" w:color="auto" w:fill="FFFFFF"/>
          <w:lang w:val="zh-CN"/>
        </w:rPr>
        <w:t>）不具备采购文件中规定的资格要求的；</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lang w:val="en-US" w:eastAsia="zh-CN"/>
        </w:rPr>
        <w:t>4</w:t>
      </w:r>
      <w:r>
        <w:rPr>
          <w:rFonts w:hint="eastAsia" w:ascii="仿宋" w:hAnsi="仿宋" w:eastAsia="仿宋" w:cs="仿宋"/>
          <w:color w:val="auto"/>
          <w:highlight w:val="none"/>
          <w:shd w:val="clear" w:color="auto" w:fill="FFFFFF"/>
          <w:lang w:val="zh-CN"/>
        </w:rPr>
        <w:t>）报价超过采购文件中规定的预算金额或者最高限价的；</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lang w:val="en-US" w:eastAsia="zh-CN"/>
        </w:rPr>
        <w:t>5</w:t>
      </w:r>
      <w:r>
        <w:rPr>
          <w:rFonts w:hint="eastAsia" w:ascii="仿宋" w:hAnsi="仿宋" w:eastAsia="仿宋" w:cs="仿宋"/>
          <w:color w:val="auto"/>
          <w:highlight w:val="none"/>
          <w:shd w:val="clear" w:color="auto" w:fill="FFFFFF"/>
          <w:lang w:val="zh-CN"/>
        </w:rPr>
        <w:t>）响应文件含有采购人不能接受的附加条件的;</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lang w:val="en-US" w:eastAsia="zh-CN"/>
        </w:rPr>
        <w:t>6</w:t>
      </w:r>
      <w:r>
        <w:rPr>
          <w:rFonts w:hint="eastAsia" w:ascii="仿宋" w:hAnsi="仿宋" w:eastAsia="仿宋" w:cs="仿宋"/>
          <w:color w:val="auto"/>
          <w:highlight w:val="none"/>
          <w:shd w:val="clear" w:color="auto" w:fill="FFFFFF"/>
          <w:lang w:val="zh-CN"/>
        </w:rPr>
        <w:t>）未通过符合性检查的；</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lang w:val="en-US" w:eastAsia="zh-CN"/>
        </w:rPr>
        <w:t>7</w:t>
      </w:r>
      <w:r>
        <w:rPr>
          <w:rFonts w:hint="eastAsia" w:ascii="仿宋" w:hAnsi="仿宋" w:eastAsia="仿宋" w:cs="仿宋"/>
          <w:color w:val="auto"/>
          <w:highlight w:val="none"/>
          <w:shd w:val="clear" w:color="auto" w:fill="FFFFFF"/>
          <w:lang w:val="zh-CN"/>
        </w:rPr>
        <w:t>）不符合采购文件中规定的其他实质性要求和条件的；</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lang w:val="en-US" w:eastAsia="zh-CN"/>
        </w:rPr>
        <w:t>8</w:t>
      </w:r>
      <w:r>
        <w:rPr>
          <w:rFonts w:hint="eastAsia" w:ascii="仿宋" w:hAnsi="仿宋" w:eastAsia="仿宋" w:cs="仿宋"/>
          <w:color w:val="auto"/>
          <w:highlight w:val="none"/>
          <w:shd w:val="clear" w:color="auto" w:fill="FFFFFF"/>
          <w:lang w:val="zh-CN"/>
        </w:rPr>
        <w:t>）法律、法规及本采购文件规定的属无效投标的情形。</w:t>
      </w:r>
    </w:p>
    <w:p>
      <w:pPr>
        <w:pStyle w:val="9"/>
        <w:widowControl/>
        <w:shd w:val="clear" w:color="auto" w:fill="FFFFFF"/>
        <w:adjustRightInd w:val="0"/>
        <w:snapToGrid w:val="0"/>
        <w:spacing w:beforeAutospacing="0" w:afterAutospacing="0" w:line="360" w:lineRule="auto"/>
        <w:ind w:firstLine="480" w:firstLineChars="200"/>
        <w:jc w:val="both"/>
        <w:rPr>
          <w:rFonts w:ascii="仿宋" w:hAnsi="仿宋" w:eastAsia="仿宋" w:cs="仿宋"/>
          <w:color w:val="auto"/>
          <w:highlight w:val="none"/>
          <w:shd w:val="clear" w:color="auto" w:fill="FFFFFF"/>
        </w:rPr>
      </w:pPr>
      <w:r>
        <w:rPr>
          <w:rFonts w:hint="eastAsia" w:ascii="仿宋" w:hAnsi="仿宋" w:eastAsia="仿宋" w:cs="仿宋"/>
          <w:color w:val="auto"/>
          <w:highlight w:val="none"/>
          <w:shd w:val="clear" w:color="auto" w:fill="FFFFFF"/>
        </w:rPr>
        <w:t>2、废标</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rPr>
        <w:t>1</w:t>
      </w:r>
      <w:r>
        <w:rPr>
          <w:rFonts w:hint="eastAsia" w:ascii="仿宋" w:hAnsi="仿宋" w:eastAsia="仿宋" w:cs="仿宋"/>
          <w:color w:val="auto"/>
          <w:highlight w:val="none"/>
          <w:shd w:val="clear" w:color="auto" w:fill="FFFFFF"/>
          <w:lang w:val="zh-CN"/>
        </w:rPr>
        <w:t>）出现影响采购公正的违法、违规行为的；</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rPr>
        <w:t>2</w:t>
      </w:r>
      <w:r>
        <w:rPr>
          <w:rFonts w:hint="eastAsia" w:ascii="仿宋" w:hAnsi="仿宋" w:eastAsia="仿宋" w:cs="仿宋"/>
          <w:color w:val="auto"/>
          <w:highlight w:val="none"/>
          <w:shd w:val="clear" w:color="auto" w:fill="FFFFFF"/>
          <w:lang w:val="zh-CN"/>
        </w:rPr>
        <w:t>）因重大变故，采购任务取消的；</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rPr>
        <w:t>3</w:t>
      </w:r>
      <w:r>
        <w:rPr>
          <w:rFonts w:hint="eastAsia" w:ascii="仿宋" w:hAnsi="仿宋" w:eastAsia="仿宋" w:cs="仿宋"/>
          <w:color w:val="auto"/>
          <w:highlight w:val="none"/>
          <w:shd w:val="clear" w:color="auto" w:fill="FFFFFF"/>
          <w:lang w:val="zh-CN"/>
        </w:rPr>
        <w:t>）评标委员会认定采购文件存在歧义、重大缺陷导致评审工作无法进行。</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rPr>
        <w:t>3、</w:t>
      </w:r>
      <w:r>
        <w:rPr>
          <w:rFonts w:hint="eastAsia" w:ascii="仿宋" w:hAnsi="仿宋" w:eastAsia="仿宋" w:cs="仿宋"/>
          <w:color w:val="auto"/>
          <w:highlight w:val="none"/>
          <w:shd w:val="clear" w:color="auto" w:fill="FFFFFF"/>
          <w:lang w:val="zh-CN"/>
        </w:rPr>
        <w:t>重新招标</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rPr>
        <w:t>1</w:t>
      </w:r>
      <w:r>
        <w:rPr>
          <w:rFonts w:hint="eastAsia" w:ascii="仿宋" w:hAnsi="仿宋" w:eastAsia="仿宋" w:cs="仿宋"/>
          <w:color w:val="auto"/>
          <w:highlight w:val="none"/>
          <w:shd w:val="clear" w:color="auto" w:fill="FFFFFF"/>
          <w:lang w:val="zh-CN"/>
        </w:rPr>
        <w:t>）投标截止时间止，无人投标的；</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rPr>
        <w:t>2</w:t>
      </w:r>
      <w:r>
        <w:rPr>
          <w:rFonts w:hint="eastAsia" w:ascii="仿宋" w:hAnsi="仿宋" w:eastAsia="仿宋" w:cs="仿宋"/>
          <w:color w:val="auto"/>
          <w:highlight w:val="none"/>
          <w:shd w:val="clear" w:color="auto" w:fill="FFFFFF"/>
          <w:lang w:val="zh-CN"/>
        </w:rPr>
        <w:t>）经评标委员会评审后否决所有投标的；</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rPr>
        <w:t>3</w:t>
      </w:r>
      <w:r>
        <w:rPr>
          <w:rFonts w:hint="eastAsia" w:ascii="仿宋" w:hAnsi="仿宋" w:eastAsia="仿宋" w:cs="仿宋"/>
          <w:color w:val="auto"/>
          <w:highlight w:val="none"/>
          <w:shd w:val="clear" w:color="auto" w:fill="FFFFFF"/>
          <w:lang w:val="zh-CN"/>
        </w:rPr>
        <w:t>）符合国家、省、市采购采购文件中规定情形，导致中标无效，并且应当重新招标的。</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rPr>
        <w:t>4、</w:t>
      </w:r>
      <w:r>
        <w:rPr>
          <w:rFonts w:hint="eastAsia" w:ascii="仿宋" w:hAnsi="仿宋" w:eastAsia="仿宋" w:cs="仿宋"/>
          <w:color w:val="auto"/>
          <w:highlight w:val="none"/>
          <w:shd w:val="clear" w:color="auto" w:fill="FFFFFF"/>
          <w:lang w:val="zh-CN"/>
        </w:rPr>
        <w:t>不再招标</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rPr>
        <w:t>1</w:t>
      </w:r>
      <w:r>
        <w:rPr>
          <w:rFonts w:hint="eastAsia" w:ascii="仿宋" w:hAnsi="仿宋" w:eastAsia="仿宋" w:cs="仿宋"/>
          <w:color w:val="auto"/>
          <w:highlight w:val="none"/>
          <w:shd w:val="clear" w:color="auto" w:fill="FFFFFF"/>
          <w:lang w:val="zh-CN"/>
        </w:rPr>
        <w:t>）重新招标后仍无人响应的；</w:t>
      </w:r>
    </w:p>
    <w:p>
      <w:pPr>
        <w:pStyle w:val="9"/>
        <w:widowControl/>
        <w:shd w:val="clear" w:color="auto" w:fill="FFFFFF"/>
        <w:adjustRightInd w:val="0"/>
        <w:snapToGrid w:val="0"/>
        <w:spacing w:beforeAutospacing="0" w:afterAutospacing="0" w:line="360" w:lineRule="auto"/>
        <w:ind w:firstLine="480" w:firstLineChars="200"/>
        <w:jc w:val="both"/>
        <w:rPr>
          <w:rFonts w:ascii="仿宋" w:hAnsi="仿宋" w:eastAsia="仿宋" w:cs="仿宋"/>
          <w:color w:val="auto"/>
          <w:highlight w:val="none"/>
          <w:shd w:val="clear" w:color="auto" w:fill="FFFFFF"/>
        </w:rPr>
      </w:pP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rPr>
        <w:t>2</w:t>
      </w:r>
      <w:r>
        <w:rPr>
          <w:rFonts w:hint="eastAsia" w:ascii="仿宋" w:hAnsi="仿宋" w:eastAsia="仿宋" w:cs="仿宋"/>
          <w:color w:val="auto"/>
          <w:highlight w:val="none"/>
          <w:shd w:val="clear" w:color="auto" w:fill="FFFFFF"/>
          <w:lang w:val="zh-CN"/>
        </w:rPr>
        <w:t>）</w:t>
      </w:r>
      <w:r>
        <w:rPr>
          <w:rFonts w:hint="eastAsia" w:ascii="仿宋" w:hAnsi="仿宋" w:eastAsia="仿宋" w:cs="仿宋"/>
          <w:color w:val="auto"/>
          <w:highlight w:val="none"/>
          <w:shd w:val="clear" w:color="auto" w:fill="FFFFFF"/>
        </w:rPr>
        <w:t>有效响应供应商只有1个的，改为商务谈判。</w:t>
      </w:r>
    </w:p>
    <w:p>
      <w:pPr>
        <w:pStyle w:val="9"/>
        <w:widowControl/>
        <w:shd w:val="clear" w:color="auto" w:fill="FFFFFF"/>
        <w:adjustRightInd w:val="0"/>
        <w:snapToGrid w:val="0"/>
        <w:spacing w:beforeAutospacing="0" w:afterAutospacing="0" w:line="360" w:lineRule="auto"/>
        <w:ind w:firstLine="480" w:firstLineChars="200"/>
        <w:jc w:val="both"/>
        <w:rPr>
          <w:rFonts w:hint="eastAsia" w:ascii="仿宋" w:hAnsi="仿宋" w:eastAsia="仿宋" w:cs="仿宋"/>
          <w:color w:val="auto"/>
          <w:highlight w:val="none"/>
          <w:shd w:val="clear" w:color="auto" w:fill="FFFFFF"/>
          <w:lang w:val="zh-CN"/>
        </w:rPr>
      </w:pPr>
    </w:p>
    <w:p>
      <w:pPr>
        <w:pStyle w:val="9"/>
        <w:keepNext w:val="0"/>
        <w:keepLines w:val="0"/>
        <w:pageBreakBefore w:val="0"/>
        <w:widowControl/>
        <w:shd w:val="clear" w:color="auto" w:fill="FFFFFF"/>
        <w:kinsoku/>
        <w:wordWrap/>
        <w:overflowPunct/>
        <w:topLinePunct w:val="0"/>
        <w:autoSpaceDE/>
        <w:autoSpaceDN/>
        <w:bidi w:val="0"/>
        <w:adjustRightInd w:val="0"/>
        <w:snapToGrid w:val="0"/>
        <w:spacing w:before="157" w:beforeLines="50" w:beforeAutospacing="0" w:after="157" w:afterLines="50" w:afterAutospacing="0" w:line="30" w:lineRule="atLeast"/>
        <w:ind w:firstLine="480" w:firstLineChars="200"/>
        <w:jc w:val="both"/>
        <w:textAlignment w:val="auto"/>
        <w:rPr>
          <w:rFonts w:hint="eastAsia" w:ascii="仿宋" w:hAnsi="仿宋" w:eastAsia="仿宋" w:cs="仿宋"/>
          <w:highlight w:val="none"/>
          <w:shd w:val="clear" w:color="auto" w:fill="FFFFFF"/>
          <w:lang w:val="zh-CN"/>
        </w:rPr>
      </w:pPr>
    </w:p>
    <w:p>
      <w:pPr>
        <w:keepNext w:val="0"/>
        <w:keepLines w:val="0"/>
        <w:pageBreakBefore w:val="0"/>
        <w:kinsoku/>
        <w:wordWrap/>
        <w:overflowPunct/>
        <w:topLinePunct w:val="0"/>
        <w:autoSpaceDE/>
        <w:autoSpaceDN/>
        <w:bidi w:val="0"/>
        <w:adjustRightInd w:val="0"/>
        <w:snapToGrid w:val="0"/>
        <w:spacing w:before="157" w:beforeLines="50" w:after="157" w:afterLines="50" w:line="30" w:lineRule="atLeast"/>
        <w:contextualSpacing/>
        <w:jc w:val="center"/>
        <w:textAlignment w:val="auto"/>
        <w:outlineLvl w:val="0"/>
        <w:rPr>
          <w:rFonts w:hint="eastAsia" w:ascii="黑体" w:hAnsi="黑体" w:eastAsia="黑体"/>
          <w:sz w:val="30"/>
          <w:szCs w:val="30"/>
          <w:highlight w:val="none"/>
        </w:rPr>
      </w:pPr>
      <w:r>
        <w:rPr>
          <w:rFonts w:hint="eastAsia" w:ascii="黑体" w:hAnsi="黑体" w:eastAsia="黑体"/>
          <w:sz w:val="30"/>
          <w:szCs w:val="30"/>
          <w:highlight w:val="none"/>
        </w:rPr>
        <w:t>第三章 项目需求</w:t>
      </w:r>
    </w:p>
    <w:p>
      <w:pPr>
        <w:pStyle w:val="9"/>
        <w:keepNext w:val="0"/>
        <w:keepLines w:val="0"/>
        <w:pageBreakBefore w:val="0"/>
        <w:widowControl/>
        <w:shd w:val="clear" w:color="auto" w:fill="FFFFFF"/>
        <w:kinsoku/>
        <w:wordWrap/>
        <w:overflowPunct/>
        <w:topLinePunct w:val="0"/>
        <w:autoSpaceDE/>
        <w:autoSpaceDN/>
        <w:bidi w:val="0"/>
        <w:adjustRightInd w:val="0"/>
        <w:snapToGrid w:val="0"/>
        <w:spacing w:before="157" w:beforeLines="50" w:beforeAutospacing="0" w:after="157" w:afterLines="50" w:afterAutospacing="0" w:line="30" w:lineRule="atLeast"/>
        <w:ind w:firstLine="482" w:firstLineChars="200"/>
        <w:jc w:val="both"/>
        <w:textAlignment w:val="auto"/>
        <w:outlineLvl w:val="1"/>
        <w:rPr>
          <w:rFonts w:hint="eastAsia" w:ascii="黑体" w:hAnsi="黑体" w:eastAsia="黑体" w:cs="黑体"/>
          <w:b/>
          <w:bCs/>
          <w:highlight w:val="none"/>
          <w:shd w:val="clear" w:color="auto" w:fill="FFFFFF"/>
          <w:lang w:val="zh-CN"/>
        </w:rPr>
      </w:pPr>
      <w:r>
        <w:rPr>
          <w:rFonts w:hint="eastAsia" w:ascii="黑体" w:hAnsi="黑体" w:eastAsia="黑体" w:cs="黑体"/>
          <w:b/>
          <w:bCs/>
          <w:highlight w:val="none"/>
          <w:shd w:val="clear" w:color="auto" w:fill="FFFFFF"/>
          <w:lang w:val="zh-CN"/>
        </w:rPr>
        <w:t>一、项目概述</w:t>
      </w:r>
    </w:p>
    <w:p>
      <w:pPr>
        <w:pStyle w:val="9"/>
        <w:keepNext w:val="0"/>
        <w:keepLines w:val="0"/>
        <w:pageBreakBefore w:val="0"/>
        <w:widowControl/>
        <w:shd w:val="clear" w:color="auto" w:fill="FFFFFF"/>
        <w:kinsoku/>
        <w:wordWrap/>
        <w:overflowPunct/>
        <w:topLinePunct w:val="0"/>
        <w:autoSpaceDE/>
        <w:autoSpaceDN/>
        <w:bidi w:val="0"/>
        <w:adjustRightInd w:val="0"/>
        <w:snapToGrid w:val="0"/>
        <w:spacing w:before="157" w:beforeLines="50" w:beforeAutospacing="0" w:after="157" w:afterLines="50" w:afterAutospacing="0" w:line="30" w:lineRule="atLeast"/>
        <w:ind w:firstLine="480" w:firstLineChars="200"/>
        <w:jc w:val="both"/>
        <w:textAlignment w:val="auto"/>
        <w:outlineLvl w:val="1"/>
        <w:rPr>
          <w:rFonts w:hint="default"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rPr>
        <w:t>本项目主要是</w:t>
      </w:r>
      <w:r>
        <w:rPr>
          <w:rFonts w:hint="eastAsia" w:ascii="仿宋" w:hAnsi="仿宋" w:eastAsia="仿宋" w:cs="仿宋"/>
          <w:highlight w:val="none"/>
          <w:shd w:val="clear" w:color="auto" w:fill="FFFFFF"/>
          <w:lang w:val="en-US" w:eastAsia="zh-CN"/>
        </w:rPr>
        <w:t>南通兴东机场航站区管理部密闭箱式电动三轮车采购项目。</w:t>
      </w:r>
    </w:p>
    <w:p>
      <w:pPr>
        <w:pStyle w:val="9"/>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157" w:beforeLines="50" w:beforeAutospacing="0" w:after="157" w:afterLines="50" w:afterAutospacing="0" w:line="30" w:lineRule="atLeast"/>
        <w:ind w:left="-62" w:leftChars="0" w:firstLine="482" w:firstLineChars="0"/>
        <w:jc w:val="both"/>
        <w:textAlignment w:val="auto"/>
        <w:outlineLvl w:val="1"/>
        <w:rPr>
          <w:rFonts w:hint="eastAsia" w:ascii="仿宋" w:hAnsi="仿宋" w:eastAsia="仿宋" w:cs="仿宋"/>
          <w:b/>
          <w:bCs/>
          <w:highlight w:val="none"/>
          <w:shd w:val="clear" w:color="auto" w:fill="FFFFFF"/>
        </w:rPr>
      </w:pPr>
      <w:r>
        <w:rPr>
          <w:rFonts w:hint="eastAsia" w:ascii="黑体" w:hAnsi="黑体" w:eastAsia="黑体" w:cs="黑体"/>
          <w:b/>
          <w:bCs/>
          <w:highlight w:val="none"/>
          <w:shd w:val="clear" w:color="auto" w:fill="FFFFFF"/>
          <w:lang w:val="zh-CN"/>
        </w:rPr>
        <w:t>技术要求</w:t>
      </w:r>
    </w:p>
    <w:p>
      <w:pPr>
        <w:pStyle w:val="9"/>
        <w:keepNext w:val="0"/>
        <w:keepLines w:val="0"/>
        <w:pageBreakBefore w:val="0"/>
        <w:widowControl/>
        <w:shd w:val="clear" w:color="auto" w:fill="FFFFFF"/>
        <w:kinsoku/>
        <w:wordWrap/>
        <w:overflowPunct/>
        <w:topLinePunct w:val="0"/>
        <w:autoSpaceDE/>
        <w:autoSpaceDN/>
        <w:bidi w:val="0"/>
        <w:adjustRightInd w:val="0"/>
        <w:snapToGrid w:val="0"/>
        <w:spacing w:before="157" w:beforeLines="50" w:beforeAutospacing="0" w:after="157" w:afterLines="50" w:afterAutospacing="0" w:line="30" w:lineRule="atLeast"/>
        <w:ind w:firstLine="480" w:firstLineChars="200"/>
        <w:jc w:val="both"/>
        <w:textAlignment w:val="auto"/>
        <w:rPr>
          <w:rFonts w:hint="eastAsia" w:ascii="仿宋" w:hAnsi="仿宋" w:eastAsia="仿宋" w:cs="仿宋"/>
          <w:color w:val="444444"/>
          <w:kern w:val="0"/>
          <w:sz w:val="24"/>
          <w:szCs w:val="24"/>
          <w:highlight w:val="none"/>
          <w:lang w:val="en-US" w:eastAsia="zh-CN"/>
        </w:rPr>
      </w:pPr>
      <w:r>
        <w:rPr>
          <w:rFonts w:hint="eastAsia" w:ascii="仿宋" w:hAnsi="仿宋" w:eastAsia="仿宋" w:cs="仿宋"/>
          <w:color w:val="444444"/>
          <w:kern w:val="0"/>
          <w:sz w:val="24"/>
          <w:szCs w:val="24"/>
          <w:highlight w:val="none"/>
          <w:lang w:val="en-US" w:eastAsia="zh-CN"/>
        </w:rPr>
        <w:t>1、密闭箱式电动三轮车技术要求：</w:t>
      </w:r>
    </w:p>
    <w:tbl>
      <w:tblPr>
        <w:tblStyle w:val="10"/>
        <w:tblW w:w="8561" w:type="dxa"/>
        <w:jc w:val="center"/>
        <w:tblBorders>
          <w:top w:val="single" w:color="0000FF" w:sz="12" w:space="0"/>
          <w:left w:val="single" w:color="0000FF" w:sz="12" w:space="0"/>
          <w:bottom w:val="single" w:color="0000FF" w:sz="12" w:space="0"/>
          <w:right w:val="single" w:color="0000FF" w:sz="12" w:space="0"/>
          <w:insideH w:val="single" w:color="0000FF" w:sz="6" w:space="0"/>
          <w:insideV w:val="single" w:color="0000FF" w:sz="6" w:space="0"/>
        </w:tblBorders>
        <w:tblLayout w:type="fixed"/>
        <w:tblCellMar>
          <w:top w:w="0" w:type="dxa"/>
          <w:left w:w="108" w:type="dxa"/>
          <w:bottom w:w="0" w:type="dxa"/>
          <w:right w:w="108" w:type="dxa"/>
        </w:tblCellMar>
      </w:tblPr>
      <w:tblGrid>
        <w:gridCol w:w="1097"/>
        <w:gridCol w:w="1688"/>
        <w:gridCol w:w="5776"/>
      </w:tblGrid>
      <w:tr>
        <w:tblPrEx>
          <w:tblBorders>
            <w:top w:val="single" w:color="0000FF" w:sz="12" w:space="0"/>
            <w:left w:val="single" w:color="0000FF" w:sz="12" w:space="0"/>
            <w:bottom w:val="single" w:color="0000FF" w:sz="12" w:space="0"/>
            <w:right w:val="single" w:color="0000FF" w:sz="12" w:space="0"/>
            <w:insideH w:val="single" w:color="0000FF" w:sz="6" w:space="0"/>
            <w:insideV w:val="single" w:color="0000FF" w:sz="6" w:space="0"/>
          </w:tblBorders>
          <w:tblCellMar>
            <w:top w:w="0" w:type="dxa"/>
            <w:left w:w="108" w:type="dxa"/>
            <w:bottom w:w="0" w:type="dxa"/>
            <w:right w:w="108" w:type="dxa"/>
          </w:tblCellMar>
        </w:tblPrEx>
        <w:trPr>
          <w:trHeight w:val="454" w:hRule="atLeast"/>
          <w:jc w:val="center"/>
        </w:trPr>
        <w:tc>
          <w:tcPr>
            <w:tcW w:w="8561" w:type="dxa"/>
            <w:gridSpan w:val="3"/>
            <w:vAlign w:val="center"/>
          </w:tcPr>
          <w:p>
            <w:pPr>
              <w:widowControl/>
              <w:rPr>
                <w:rFonts w:ascii="仿宋_GB2312" w:hAnsi="宋体" w:eastAsia="仿宋_GB2312" w:cs="宋体"/>
                <w:color w:val="000000" w:themeColor="text1"/>
                <w:kern w:val="0"/>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一、基本配置</w:t>
            </w:r>
          </w:p>
        </w:tc>
      </w:tr>
      <w:tr>
        <w:tblPrEx>
          <w:tblBorders>
            <w:top w:val="single" w:color="0000FF" w:sz="12" w:space="0"/>
            <w:left w:val="single" w:color="0000FF" w:sz="12" w:space="0"/>
            <w:bottom w:val="single" w:color="0000FF" w:sz="12" w:space="0"/>
            <w:right w:val="single" w:color="0000FF" w:sz="12" w:space="0"/>
            <w:insideH w:val="single" w:color="0000FF" w:sz="6" w:space="0"/>
            <w:insideV w:val="single" w:color="0000FF" w:sz="6" w:space="0"/>
          </w:tblBorders>
          <w:tblCellMar>
            <w:top w:w="0" w:type="dxa"/>
            <w:left w:w="108" w:type="dxa"/>
            <w:bottom w:w="0" w:type="dxa"/>
            <w:right w:w="108" w:type="dxa"/>
          </w:tblCellMar>
        </w:tblPrEx>
        <w:trPr>
          <w:trHeight w:val="454" w:hRule="atLeast"/>
          <w:jc w:val="center"/>
        </w:trPr>
        <w:tc>
          <w:tcPr>
            <w:tcW w:w="1097" w:type="dxa"/>
            <w:vMerge w:val="restart"/>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电</w:t>
            </w:r>
          </w:p>
          <w:p>
            <w:pPr>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器</w:t>
            </w:r>
          </w:p>
          <w:p>
            <w:pPr>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配      置</w:t>
            </w:r>
          </w:p>
        </w:tc>
        <w:tc>
          <w:tcPr>
            <w:tcW w:w="1688" w:type="dxa"/>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电控</w:t>
            </w:r>
          </w:p>
        </w:tc>
        <w:tc>
          <w:tcPr>
            <w:tcW w:w="5776" w:type="dxa"/>
            <w:vAlign w:val="center"/>
          </w:tcPr>
          <w:p>
            <w:pPr>
              <w:widowControl/>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60V/1500W无刷控制器</w:t>
            </w:r>
          </w:p>
        </w:tc>
      </w:tr>
      <w:tr>
        <w:tblPrEx>
          <w:tblBorders>
            <w:top w:val="single" w:color="0000FF" w:sz="12" w:space="0"/>
            <w:left w:val="single" w:color="0000FF" w:sz="12" w:space="0"/>
            <w:bottom w:val="single" w:color="0000FF" w:sz="12" w:space="0"/>
            <w:right w:val="single" w:color="0000FF" w:sz="12" w:space="0"/>
            <w:insideH w:val="single" w:color="0000FF" w:sz="6" w:space="0"/>
            <w:insideV w:val="single" w:color="0000FF" w:sz="6" w:space="0"/>
          </w:tblBorders>
          <w:tblCellMar>
            <w:top w:w="0" w:type="dxa"/>
            <w:left w:w="108" w:type="dxa"/>
            <w:bottom w:w="0" w:type="dxa"/>
            <w:right w:w="108" w:type="dxa"/>
          </w:tblCellMar>
        </w:tblPrEx>
        <w:trPr>
          <w:trHeight w:val="454" w:hRule="atLeast"/>
          <w:jc w:val="center"/>
        </w:trPr>
        <w:tc>
          <w:tcPr>
            <w:tcW w:w="1097" w:type="dxa"/>
            <w:vMerge w:val="continue"/>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688" w:type="dxa"/>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电池</w:t>
            </w:r>
          </w:p>
        </w:tc>
        <w:tc>
          <w:tcPr>
            <w:tcW w:w="5776" w:type="dxa"/>
            <w:vAlign w:val="center"/>
          </w:tcPr>
          <w:p>
            <w:pPr>
              <w:widowControl/>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免维护电池60V100Ah</w:t>
            </w:r>
          </w:p>
        </w:tc>
      </w:tr>
      <w:tr>
        <w:tblPrEx>
          <w:tblBorders>
            <w:top w:val="single" w:color="0000FF" w:sz="12" w:space="0"/>
            <w:left w:val="single" w:color="0000FF" w:sz="12" w:space="0"/>
            <w:bottom w:val="single" w:color="0000FF" w:sz="12" w:space="0"/>
            <w:right w:val="single" w:color="0000FF" w:sz="12" w:space="0"/>
            <w:insideH w:val="single" w:color="0000FF" w:sz="6" w:space="0"/>
            <w:insideV w:val="single" w:color="0000FF" w:sz="6" w:space="0"/>
          </w:tblBorders>
          <w:tblCellMar>
            <w:top w:w="0" w:type="dxa"/>
            <w:left w:w="108" w:type="dxa"/>
            <w:bottom w:w="0" w:type="dxa"/>
            <w:right w:w="108" w:type="dxa"/>
          </w:tblCellMar>
        </w:tblPrEx>
        <w:trPr>
          <w:trHeight w:val="454" w:hRule="atLeast"/>
          <w:jc w:val="center"/>
        </w:trPr>
        <w:tc>
          <w:tcPr>
            <w:tcW w:w="1097" w:type="dxa"/>
            <w:vMerge w:val="continue"/>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688" w:type="dxa"/>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电机</w:t>
            </w:r>
          </w:p>
        </w:tc>
        <w:tc>
          <w:tcPr>
            <w:tcW w:w="5776" w:type="dxa"/>
            <w:vAlign w:val="center"/>
          </w:tcPr>
          <w:p>
            <w:pPr>
              <w:widowControl/>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60V/1500W差速后桥无刷电机</w:t>
            </w:r>
          </w:p>
        </w:tc>
      </w:tr>
      <w:tr>
        <w:tblPrEx>
          <w:tblBorders>
            <w:top w:val="single" w:color="0000FF" w:sz="12" w:space="0"/>
            <w:left w:val="single" w:color="0000FF" w:sz="12" w:space="0"/>
            <w:bottom w:val="single" w:color="0000FF" w:sz="12" w:space="0"/>
            <w:right w:val="single" w:color="0000FF" w:sz="12" w:space="0"/>
            <w:insideH w:val="single" w:color="0000FF" w:sz="6" w:space="0"/>
            <w:insideV w:val="single" w:color="0000FF" w:sz="6" w:space="0"/>
          </w:tblBorders>
          <w:tblCellMar>
            <w:top w:w="0" w:type="dxa"/>
            <w:left w:w="108" w:type="dxa"/>
            <w:bottom w:w="0" w:type="dxa"/>
            <w:right w:w="108" w:type="dxa"/>
          </w:tblCellMar>
        </w:tblPrEx>
        <w:trPr>
          <w:trHeight w:val="454" w:hRule="atLeast"/>
          <w:jc w:val="center"/>
        </w:trPr>
        <w:tc>
          <w:tcPr>
            <w:tcW w:w="1097" w:type="dxa"/>
            <w:vMerge w:val="continue"/>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688" w:type="dxa"/>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充电机</w:t>
            </w:r>
          </w:p>
        </w:tc>
        <w:tc>
          <w:tcPr>
            <w:tcW w:w="5776" w:type="dxa"/>
            <w:vAlign w:val="center"/>
          </w:tcPr>
          <w:p>
            <w:pPr>
              <w:widowControl/>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60V智能全自动充电机</w:t>
            </w:r>
          </w:p>
        </w:tc>
      </w:tr>
      <w:tr>
        <w:tblPrEx>
          <w:tblBorders>
            <w:top w:val="single" w:color="0000FF" w:sz="12" w:space="0"/>
            <w:left w:val="single" w:color="0000FF" w:sz="12" w:space="0"/>
            <w:bottom w:val="single" w:color="0000FF" w:sz="12" w:space="0"/>
            <w:right w:val="single" w:color="0000FF" w:sz="12" w:space="0"/>
            <w:insideH w:val="single" w:color="0000FF" w:sz="6" w:space="0"/>
            <w:insideV w:val="single" w:color="0000FF" w:sz="6" w:space="0"/>
          </w:tblBorders>
          <w:tblCellMar>
            <w:top w:w="0" w:type="dxa"/>
            <w:left w:w="108" w:type="dxa"/>
            <w:bottom w:w="0" w:type="dxa"/>
            <w:right w:w="108" w:type="dxa"/>
          </w:tblCellMar>
        </w:tblPrEx>
        <w:trPr>
          <w:trHeight w:val="517" w:hRule="atLeast"/>
          <w:jc w:val="center"/>
        </w:trPr>
        <w:tc>
          <w:tcPr>
            <w:tcW w:w="1097" w:type="dxa"/>
            <w:vMerge w:val="restart"/>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车      身      配      置</w:t>
            </w:r>
          </w:p>
        </w:tc>
        <w:tc>
          <w:tcPr>
            <w:tcW w:w="1688" w:type="dxa"/>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车身</w:t>
            </w:r>
          </w:p>
        </w:tc>
        <w:tc>
          <w:tcPr>
            <w:tcW w:w="5776" w:type="dxa"/>
            <w:vAlign w:val="center"/>
          </w:tcPr>
          <w:p>
            <w:pPr>
              <w:widowControl/>
              <w:rPr>
                <w:rFonts w:ascii="仿宋_GB2312" w:hAnsi="宋体" w:eastAsia="仿宋_GB2312" w:cs="宋体"/>
                <w:color w:val="000000" w:themeColor="text1"/>
                <w:kern w:val="0"/>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车辆配备驾驶篷，采用厚钢板制作，篷内含刮雨器</w:t>
            </w:r>
            <w:r>
              <w:rPr>
                <w:rFonts w:hint="eastAsia" w:ascii="仿宋_GB2312" w:hAnsi="宋体" w:eastAsia="仿宋_GB2312" w:cs="宋体"/>
                <w:color w:val="000000" w:themeColor="text1"/>
                <w:kern w:val="0"/>
                <w:sz w:val="24"/>
                <w14:textFill>
                  <w14:solidFill>
                    <w14:schemeClr w14:val="tx1"/>
                  </w14:solidFill>
                </w14:textFill>
              </w:rPr>
              <w:t xml:space="preserve"> +优质不锈钢后箱体</w:t>
            </w:r>
          </w:p>
        </w:tc>
      </w:tr>
      <w:tr>
        <w:tblPrEx>
          <w:tblBorders>
            <w:top w:val="single" w:color="0000FF" w:sz="12" w:space="0"/>
            <w:left w:val="single" w:color="0000FF" w:sz="12" w:space="0"/>
            <w:bottom w:val="single" w:color="0000FF" w:sz="12" w:space="0"/>
            <w:right w:val="single" w:color="0000FF" w:sz="12" w:space="0"/>
            <w:insideH w:val="single" w:color="0000FF" w:sz="6" w:space="0"/>
            <w:insideV w:val="single" w:color="0000FF" w:sz="6" w:space="0"/>
          </w:tblBorders>
          <w:tblCellMar>
            <w:top w:w="0" w:type="dxa"/>
            <w:left w:w="108" w:type="dxa"/>
            <w:bottom w:w="0" w:type="dxa"/>
            <w:right w:w="108" w:type="dxa"/>
          </w:tblCellMar>
        </w:tblPrEx>
        <w:trPr>
          <w:trHeight w:val="454" w:hRule="atLeast"/>
          <w:jc w:val="center"/>
        </w:trPr>
        <w:tc>
          <w:tcPr>
            <w:tcW w:w="1097" w:type="dxa"/>
            <w:vMerge w:val="continue"/>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p>
        </w:tc>
        <w:tc>
          <w:tcPr>
            <w:tcW w:w="1688" w:type="dxa"/>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装卸系统</w:t>
            </w:r>
          </w:p>
        </w:tc>
        <w:tc>
          <w:tcPr>
            <w:tcW w:w="5776" w:type="dxa"/>
            <w:vAlign w:val="center"/>
          </w:tcPr>
          <w:p>
            <w:pPr>
              <w:widowControl/>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工程液压自卸系统自卸垃圾</w:t>
            </w:r>
          </w:p>
        </w:tc>
      </w:tr>
      <w:tr>
        <w:tblPrEx>
          <w:tblBorders>
            <w:top w:val="single" w:color="0000FF" w:sz="12" w:space="0"/>
            <w:left w:val="single" w:color="0000FF" w:sz="12" w:space="0"/>
            <w:bottom w:val="single" w:color="0000FF" w:sz="12" w:space="0"/>
            <w:right w:val="single" w:color="0000FF" w:sz="12" w:space="0"/>
            <w:insideH w:val="single" w:color="0000FF" w:sz="6" w:space="0"/>
            <w:insideV w:val="single" w:color="0000FF" w:sz="6" w:space="0"/>
          </w:tblBorders>
          <w:tblCellMar>
            <w:top w:w="0" w:type="dxa"/>
            <w:left w:w="108" w:type="dxa"/>
            <w:bottom w:w="0" w:type="dxa"/>
            <w:right w:w="108" w:type="dxa"/>
          </w:tblCellMar>
        </w:tblPrEx>
        <w:trPr>
          <w:trHeight w:val="454" w:hRule="atLeast"/>
          <w:jc w:val="center"/>
        </w:trPr>
        <w:tc>
          <w:tcPr>
            <w:tcW w:w="1097" w:type="dxa"/>
            <w:vMerge w:val="continue"/>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688" w:type="dxa"/>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座椅</w:t>
            </w:r>
          </w:p>
        </w:tc>
        <w:tc>
          <w:tcPr>
            <w:tcW w:w="5776" w:type="dxa"/>
            <w:vAlign w:val="center"/>
          </w:tcPr>
          <w:p>
            <w:pPr>
              <w:widowControl/>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防水皮纹座椅</w:t>
            </w:r>
          </w:p>
        </w:tc>
      </w:tr>
      <w:tr>
        <w:tblPrEx>
          <w:tblBorders>
            <w:top w:val="single" w:color="0000FF" w:sz="12" w:space="0"/>
            <w:left w:val="single" w:color="0000FF" w:sz="12" w:space="0"/>
            <w:bottom w:val="single" w:color="0000FF" w:sz="12" w:space="0"/>
            <w:right w:val="single" w:color="0000FF" w:sz="12" w:space="0"/>
            <w:insideH w:val="single" w:color="0000FF" w:sz="6" w:space="0"/>
            <w:insideV w:val="single" w:color="0000FF" w:sz="6" w:space="0"/>
          </w:tblBorders>
          <w:tblCellMar>
            <w:top w:w="0" w:type="dxa"/>
            <w:left w:w="108" w:type="dxa"/>
            <w:bottom w:w="0" w:type="dxa"/>
            <w:right w:w="108" w:type="dxa"/>
          </w:tblCellMar>
        </w:tblPrEx>
        <w:trPr>
          <w:trHeight w:val="454" w:hRule="atLeast"/>
          <w:jc w:val="center"/>
        </w:trPr>
        <w:tc>
          <w:tcPr>
            <w:tcW w:w="1097" w:type="dxa"/>
            <w:vMerge w:val="continue"/>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688" w:type="dxa"/>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车架</w:t>
            </w:r>
          </w:p>
        </w:tc>
        <w:tc>
          <w:tcPr>
            <w:tcW w:w="5776" w:type="dxa"/>
            <w:vAlign w:val="center"/>
          </w:tcPr>
          <w:p>
            <w:pPr>
              <w:widowControl/>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钢制车架</w:t>
            </w:r>
          </w:p>
        </w:tc>
      </w:tr>
      <w:tr>
        <w:tblPrEx>
          <w:tblBorders>
            <w:top w:val="single" w:color="0000FF" w:sz="12" w:space="0"/>
            <w:left w:val="single" w:color="0000FF" w:sz="12" w:space="0"/>
            <w:bottom w:val="single" w:color="0000FF" w:sz="12" w:space="0"/>
            <w:right w:val="single" w:color="0000FF" w:sz="12" w:space="0"/>
            <w:insideH w:val="single" w:color="0000FF" w:sz="6" w:space="0"/>
            <w:insideV w:val="single" w:color="0000FF" w:sz="6" w:space="0"/>
          </w:tblBorders>
          <w:tblCellMar>
            <w:top w:w="0" w:type="dxa"/>
            <w:left w:w="108" w:type="dxa"/>
            <w:bottom w:w="0" w:type="dxa"/>
            <w:right w:w="108" w:type="dxa"/>
          </w:tblCellMar>
        </w:tblPrEx>
        <w:trPr>
          <w:trHeight w:val="454" w:hRule="atLeast"/>
          <w:jc w:val="center"/>
        </w:trPr>
        <w:tc>
          <w:tcPr>
            <w:tcW w:w="1097" w:type="dxa"/>
            <w:vMerge w:val="continue"/>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688" w:type="dxa"/>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后视镜</w:t>
            </w:r>
          </w:p>
        </w:tc>
        <w:tc>
          <w:tcPr>
            <w:tcW w:w="5776" w:type="dxa"/>
            <w:vAlign w:val="center"/>
          </w:tcPr>
          <w:p>
            <w:pPr>
              <w:widowControl/>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可调外后视镜</w:t>
            </w:r>
          </w:p>
        </w:tc>
      </w:tr>
      <w:tr>
        <w:tblPrEx>
          <w:tblBorders>
            <w:top w:val="single" w:color="0000FF" w:sz="12" w:space="0"/>
            <w:left w:val="single" w:color="0000FF" w:sz="12" w:space="0"/>
            <w:bottom w:val="single" w:color="0000FF" w:sz="12" w:space="0"/>
            <w:right w:val="single" w:color="0000FF" w:sz="12" w:space="0"/>
            <w:insideH w:val="single" w:color="0000FF" w:sz="6" w:space="0"/>
            <w:insideV w:val="single" w:color="0000FF" w:sz="6" w:space="0"/>
          </w:tblBorders>
          <w:tblCellMar>
            <w:top w:w="0" w:type="dxa"/>
            <w:left w:w="108" w:type="dxa"/>
            <w:bottom w:w="0" w:type="dxa"/>
            <w:right w:w="108" w:type="dxa"/>
          </w:tblCellMar>
        </w:tblPrEx>
        <w:trPr>
          <w:trHeight w:val="454" w:hRule="atLeast"/>
          <w:jc w:val="center"/>
        </w:trPr>
        <w:tc>
          <w:tcPr>
            <w:tcW w:w="1097" w:type="dxa"/>
            <w:vMerge w:val="continue"/>
            <w:shd w:val="clear" w:color="auto" w:fill="auto"/>
            <w:vAlign w:val="center"/>
          </w:tcPr>
          <w:p>
            <w:pPr>
              <w:widowControl/>
              <w:jc w:val="left"/>
              <w:rPr>
                <w:rFonts w:ascii="仿宋_GB2312" w:hAnsi="宋体" w:eastAsia="仿宋_GB2312" w:cs="宋体"/>
                <w:color w:val="000000" w:themeColor="text1"/>
                <w:kern w:val="0"/>
                <w:sz w:val="24"/>
                <w14:textFill>
                  <w14:solidFill>
                    <w14:schemeClr w14:val="tx1"/>
                  </w14:solidFill>
                </w14:textFill>
              </w:rPr>
            </w:pPr>
          </w:p>
        </w:tc>
        <w:tc>
          <w:tcPr>
            <w:tcW w:w="1688" w:type="dxa"/>
            <w:shd w:val="clear" w:color="auto" w:fill="FFFFFF"/>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灯光及信号</w:t>
            </w:r>
          </w:p>
        </w:tc>
        <w:tc>
          <w:tcPr>
            <w:tcW w:w="5776" w:type="dxa"/>
            <w:vAlign w:val="center"/>
          </w:tcPr>
          <w:p>
            <w:pPr>
              <w:widowControl/>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前大灯+前后转向灯+刹车灯+电喇叭</w:t>
            </w:r>
          </w:p>
        </w:tc>
      </w:tr>
      <w:tr>
        <w:tblPrEx>
          <w:tblBorders>
            <w:top w:val="single" w:color="0000FF" w:sz="12" w:space="0"/>
            <w:left w:val="single" w:color="0000FF" w:sz="12" w:space="0"/>
            <w:bottom w:val="single" w:color="0000FF" w:sz="12" w:space="0"/>
            <w:right w:val="single" w:color="0000FF" w:sz="12" w:space="0"/>
            <w:insideH w:val="single" w:color="0000FF" w:sz="6" w:space="0"/>
            <w:insideV w:val="single" w:color="0000FF" w:sz="6" w:space="0"/>
          </w:tblBorders>
          <w:tblCellMar>
            <w:top w:w="0" w:type="dxa"/>
            <w:left w:w="108" w:type="dxa"/>
            <w:bottom w:w="0" w:type="dxa"/>
            <w:right w:w="108" w:type="dxa"/>
          </w:tblCellMar>
        </w:tblPrEx>
        <w:trPr>
          <w:trHeight w:val="454" w:hRule="atLeast"/>
          <w:jc w:val="center"/>
        </w:trPr>
        <w:tc>
          <w:tcPr>
            <w:tcW w:w="2785" w:type="dxa"/>
            <w:gridSpan w:val="2"/>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车漆颜色</w:t>
            </w:r>
          </w:p>
        </w:tc>
        <w:tc>
          <w:tcPr>
            <w:tcW w:w="5776" w:type="dxa"/>
            <w:vAlign w:val="center"/>
          </w:tcPr>
          <w:p>
            <w:pPr>
              <w:widowControl/>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按用户要求</w:t>
            </w:r>
          </w:p>
        </w:tc>
      </w:tr>
      <w:tr>
        <w:tblPrEx>
          <w:tblBorders>
            <w:top w:val="single" w:color="0000FF" w:sz="12" w:space="0"/>
            <w:left w:val="single" w:color="0000FF" w:sz="12" w:space="0"/>
            <w:bottom w:val="single" w:color="0000FF" w:sz="12" w:space="0"/>
            <w:right w:val="single" w:color="0000FF" w:sz="12" w:space="0"/>
            <w:insideH w:val="single" w:color="0000FF" w:sz="6" w:space="0"/>
            <w:insideV w:val="single" w:color="0000FF" w:sz="6" w:space="0"/>
          </w:tblBorders>
          <w:tblCellMar>
            <w:top w:w="0" w:type="dxa"/>
            <w:left w:w="108" w:type="dxa"/>
            <w:bottom w:w="0" w:type="dxa"/>
            <w:right w:w="108" w:type="dxa"/>
          </w:tblCellMar>
        </w:tblPrEx>
        <w:trPr>
          <w:trHeight w:val="454" w:hRule="atLeast"/>
          <w:jc w:val="center"/>
        </w:trPr>
        <w:tc>
          <w:tcPr>
            <w:tcW w:w="2785" w:type="dxa"/>
            <w:gridSpan w:val="2"/>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制动系统</w:t>
            </w:r>
          </w:p>
        </w:tc>
        <w:tc>
          <w:tcPr>
            <w:tcW w:w="5776" w:type="dxa"/>
            <w:vAlign w:val="center"/>
          </w:tcPr>
          <w:p>
            <w:pPr>
              <w:widowControl/>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前手刹、后脚刹</w:t>
            </w:r>
          </w:p>
        </w:tc>
      </w:tr>
      <w:tr>
        <w:tblPrEx>
          <w:tblBorders>
            <w:top w:val="single" w:color="0000FF" w:sz="12" w:space="0"/>
            <w:left w:val="single" w:color="0000FF" w:sz="12" w:space="0"/>
            <w:bottom w:val="single" w:color="0000FF" w:sz="12" w:space="0"/>
            <w:right w:val="single" w:color="0000FF" w:sz="12" w:space="0"/>
            <w:insideH w:val="single" w:color="0000FF" w:sz="6" w:space="0"/>
            <w:insideV w:val="single" w:color="0000FF" w:sz="6" w:space="0"/>
          </w:tblBorders>
          <w:tblCellMar>
            <w:top w:w="0" w:type="dxa"/>
            <w:left w:w="108" w:type="dxa"/>
            <w:bottom w:w="0" w:type="dxa"/>
            <w:right w:w="108" w:type="dxa"/>
          </w:tblCellMar>
        </w:tblPrEx>
        <w:trPr>
          <w:trHeight w:val="454" w:hRule="atLeast"/>
          <w:jc w:val="center"/>
        </w:trPr>
        <w:tc>
          <w:tcPr>
            <w:tcW w:w="2785" w:type="dxa"/>
            <w:gridSpan w:val="2"/>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 xml:space="preserve">速度控制系统 </w:t>
            </w:r>
          </w:p>
        </w:tc>
        <w:tc>
          <w:tcPr>
            <w:tcW w:w="5776" w:type="dxa"/>
            <w:vAlign w:val="center"/>
          </w:tcPr>
          <w:p>
            <w:pPr>
              <w:widowControl/>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无级变速</w:t>
            </w:r>
          </w:p>
        </w:tc>
      </w:tr>
      <w:tr>
        <w:tblPrEx>
          <w:tblBorders>
            <w:top w:val="single" w:color="0000FF" w:sz="12" w:space="0"/>
            <w:left w:val="single" w:color="0000FF" w:sz="12" w:space="0"/>
            <w:bottom w:val="single" w:color="0000FF" w:sz="12" w:space="0"/>
            <w:right w:val="single" w:color="0000FF" w:sz="12" w:space="0"/>
            <w:insideH w:val="single" w:color="0000FF" w:sz="6" w:space="0"/>
            <w:insideV w:val="single" w:color="0000FF" w:sz="6" w:space="0"/>
          </w:tblBorders>
          <w:tblCellMar>
            <w:top w:w="0" w:type="dxa"/>
            <w:left w:w="108" w:type="dxa"/>
            <w:bottom w:w="0" w:type="dxa"/>
            <w:right w:w="108" w:type="dxa"/>
          </w:tblCellMar>
        </w:tblPrEx>
        <w:trPr>
          <w:trHeight w:val="454" w:hRule="atLeast"/>
          <w:jc w:val="center"/>
        </w:trPr>
        <w:tc>
          <w:tcPr>
            <w:tcW w:w="8561" w:type="dxa"/>
            <w:gridSpan w:val="3"/>
            <w:vAlign w:val="center"/>
          </w:tcPr>
          <w:p>
            <w:pPr>
              <w:widowControl/>
              <w:rPr>
                <w:rFonts w:ascii="仿宋_GB2312" w:hAnsi="宋体" w:eastAsia="仿宋_GB2312" w:cs="宋体"/>
                <w:color w:val="000000" w:themeColor="text1"/>
                <w:kern w:val="0"/>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二、技术参数</w:t>
            </w:r>
          </w:p>
        </w:tc>
      </w:tr>
      <w:tr>
        <w:tblPrEx>
          <w:tblBorders>
            <w:top w:val="single" w:color="0000FF" w:sz="12" w:space="0"/>
            <w:left w:val="single" w:color="0000FF" w:sz="12" w:space="0"/>
            <w:bottom w:val="single" w:color="0000FF" w:sz="12" w:space="0"/>
            <w:right w:val="single" w:color="0000FF" w:sz="12" w:space="0"/>
            <w:insideH w:val="single" w:color="0000FF" w:sz="6" w:space="0"/>
            <w:insideV w:val="single" w:color="0000FF" w:sz="6" w:space="0"/>
          </w:tblBorders>
          <w:tblCellMar>
            <w:top w:w="0" w:type="dxa"/>
            <w:left w:w="108" w:type="dxa"/>
            <w:bottom w:w="0" w:type="dxa"/>
            <w:right w:w="108" w:type="dxa"/>
          </w:tblCellMar>
        </w:tblPrEx>
        <w:trPr>
          <w:trHeight w:val="454" w:hRule="atLeast"/>
          <w:jc w:val="center"/>
        </w:trPr>
        <w:tc>
          <w:tcPr>
            <w:tcW w:w="2785" w:type="dxa"/>
            <w:gridSpan w:val="2"/>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额定乘员（人）</w:t>
            </w:r>
          </w:p>
        </w:tc>
        <w:tc>
          <w:tcPr>
            <w:tcW w:w="5776" w:type="dxa"/>
            <w:vAlign w:val="center"/>
          </w:tcPr>
          <w:p>
            <w:pPr>
              <w:widowControl/>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1</w:t>
            </w:r>
          </w:p>
        </w:tc>
      </w:tr>
      <w:tr>
        <w:tblPrEx>
          <w:tblBorders>
            <w:top w:val="single" w:color="0000FF" w:sz="12" w:space="0"/>
            <w:left w:val="single" w:color="0000FF" w:sz="12" w:space="0"/>
            <w:bottom w:val="single" w:color="0000FF" w:sz="12" w:space="0"/>
            <w:right w:val="single" w:color="0000FF" w:sz="12" w:space="0"/>
            <w:insideH w:val="single" w:color="0000FF" w:sz="6" w:space="0"/>
            <w:insideV w:val="single" w:color="0000FF" w:sz="6" w:space="0"/>
          </w:tblBorders>
          <w:tblCellMar>
            <w:top w:w="0" w:type="dxa"/>
            <w:left w:w="108" w:type="dxa"/>
            <w:bottom w:w="0" w:type="dxa"/>
            <w:right w:w="108" w:type="dxa"/>
          </w:tblCellMar>
        </w:tblPrEx>
        <w:trPr>
          <w:trHeight w:val="454" w:hRule="atLeast"/>
          <w:jc w:val="center"/>
        </w:trPr>
        <w:tc>
          <w:tcPr>
            <w:tcW w:w="2785" w:type="dxa"/>
            <w:gridSpan w:val="2"/>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续驶里程（空载）（km）</w:t>
            </w:r>
          </w:p>
        </w:tc>
        <w:tc>
          <w:tcPr>
            <w:tcW w:w="5776" w:type="dxa"/>
            <w:vAlign w:val="center"/>
          </w:tcPr>
          <w:p>
            <w:pPr>
              <w:widowControl/>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50</w:t>
            </w:r>
          </w:p>
        </w:tc>
      </w:tr>
      <w:tr>
        <w:tblPrEx>
          <w:tblBorders>
            <w:top w:val="single" w:color="0000FF" w:sz="12" w:space="0"/>
            <w:left w:val="single" w:color="0000FF" w:sz="12" w:space="0"/>
            <w:bottom w:val="single" w:color="0000FF" w:sz="12" w:space="0"/>
            <w:right w:val="single" w:color="0000FF" w:sz="12" w:space="0"/>
            <w:insideH w:val="single" w:color="0000FF" w:sz="6" w:space="0"/>
            <w:insideV w:val="single" w:color="0000FF" w:sz="6" w:space="0"/>
          </w:tblBorders>
          <w:tblCellMar>
            <w:top w:w="0" w:type="dxa"/>
            <w:left w:w="108" w:type="dxa"/>
            <w:bottom w:w="0" w:type="dxa"/>
            <w:right w:w="108" w:type="dxa"/>
          </w:tblCellMar>
        </w:tblPrEx>
        <w:trPr>
          <w:trHeight w:val="454" w:hRule="atLeast"/>
          <w:jc w:val="center"/>
        </w:trPr>
        <w:tc>
          <w:tcPr>
            <w:tcW w:w="2785" w:type="dxa"/>
            <w:gridSpan w:val="2"/>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最大行驶速度（km/h）</w:t>
            </w:r>
          </w:p>
        </w:tc>
        <w:tc>
          <w:tcPr>
            <w:tcW w:w="5776" w:type="dxa"/>
            <w:vAlign w:val="center"/>
          </w:tcPr>
          <w:p>
            <w:pPr>
              <w:widowControl/>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25（空载）</w:t>
            </w:r>
          </w:p>
        </w:tc>
      </w:tr>
      <w:tr>
        <w:tblPrEx>
          <w:tblBorders>
            <w:top w:val="single" w:color="0000FF" w:sz="12" w:space="0"/>
            <w:left w:val="single" w:color="0000FF" w:sz="12" w:space="0"/>
            <w:bottom w:val="single" w:color="0000FF" w:sz="12" w:space="0"/>
            <w:right w:val="single" w:color="0000FF" w:sz="12" w:space="0"/>
            <w:insideH w:val="single" w:color="0000FF" w:sz="6" w:space="0"/>
            <w:insideV w:val="single" w:color="0000FF" w:sz="6" w:space="0"/>
          </w:tblBorders>
          <w:tblCellMar>
            <w:top w:w="0" w:type="dxa"/>
            <w:left w:w="108" w:type="dxa"/>
            <w:bottom w:w="0" w:type="dxa"/>
            <w:right w:w="108" w:type="dxa"/>
          </w:tblCellMar>
        </w:tblPrEx>
        <w:trPr>
          <w:trHeight w:val="454" w:hRule="atLeast"/>
          <w:jc w:val="center"/>
        </w:trPr>
        <w:tc>
          <w:tcPr>
            <w:tcW w:w="2785" w:type="dxa"/>
            <w:gridSpan w:val="2"/>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最小转弯半径（m）</w:t>
            </w:r>
          </w:p>
        </w:tc>
        <w:tc>
          <w:tcPr>
            <w:tcW w:w="5776" w:type="dxa"/>
            <w:vAlign w:val="center"/>
          </w:tcPr>
          <w:p>
            <w:pPr>
              <w:widowControl/>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3.5</w:t>
            </w:r>
          </w:p>
        </w:tc>
      </w:tr>
      <w:tr>
        <w:tblPrEx>
          <w:tblBorders>
            <w:top w:val="single" w:color="0000FF" w:sz="12" w:space="0"/>
            <w:left w:val="single" w:color="0000FF" w:sz="12" w:space="0"/>
            <w:bottom w:val="single" w:color="0000FF" w:sz="12" w:space="0"/>
            <w:right w:val="single" w:color="0000FF" w:sz="12" w:space="0"/>
            <w:insideH w:val="single" w:color="0000FF" w:sz="6" w:space="0"/>
            <w:insideV w:val="single" w:color="0000FF" w:sz="6" w:space="0"/>
          </w:tblBorders>
          <w:tblCellMar>
            <w:top w:w="0" w:type="dxa"/>
            <w:left w:w="108" w:type="dxa"/>
            <w:bottom w:w="0" w:type="dxa"/>
            <w:right w:w="108" w:type="dxa"/>
          </w:tblCellMar>
        </w:tblPrEx>
        <w:trPr>
          <w:trHeight w:val="454" w:hRule="atLeast"/>
          <w:jc w:val="center"/>
        </w:trPr>
        <w:tc>
          <w:tcPr>
            <w:tcW w:w="2785" w:type="dxa"/>
            <w:gridSpan w:val="2"/>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最大爬坡度（%）</w:t>
            </w:r>
          </w:p>
        </w:tc>
        <w:tc>
          <w:tcPr>
            <w:tcW w:w="5776" w:type="dxa"/>
            <w:vAlign w:val="center"/>
          </w:tcPr>
          <w:p>
            <w:pPr>
              <w:widowControl/>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15</w:t>
            </w:r>
          </w:p>
        </w:tc>
      </w:tr>
      <w:tr>
        <w:tblPrEx>
          <w:tblBorders>
            <w:top w:val="single" w:color="0000FF" w:sz="12" w:space="0"/>
            <w:left w:val="single" w:color="0000FF" w:sz="12" w:space="0"/>
            <w:bottom w:val="single" w:color="0000FF" w:sz="12" w:space="0"/>
            <w:right w:val="single" w:color="0000FF" w:sz="12" w:space="0"/>
            <w:insideH w:val="single" w:color="0000FF" w:sz="6" w:space="0"/>
            <w:insideV w:val="single" w:color="0000FF" w:sz="6" w:space="0"/>
          </w:tblBorders>
          <w:tblCellMar>
            <w:top w:w="0" w:type="dxa"/>
            <w:left w:w="108" w:type="dxa"/>
            <w:bottom w:w="0" w:type="dxa"/>
            <w:right w:w="108" w:type="dxa"/>
          </w:tblCellMar>
        </w:tblPrEx>
        <w:trPr>
          <w:trHeight w:val="454" w:hRule="atLeast"/>
          <w:jc w:val="center"/>
        </w:trPr>
        <w:tc>
          <w:tcPr>
            <w:tcW w:w="2785" w:type="dxa"/>
            <w:gridSpan w:val="2"/>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箱体容积（L）</w:t>
            </w:r>
          </w:p>
        </w:tc>
        <w:tc>
          <w:tcPr>
            <w:tcW w:w="5776" w:type="dxa"/>
            <w:vAlign w:val="center"/>
          </w:tcPr>
          <w:p>
            <w:pPr>
              <w:widowControl/>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2000L</w:t>
            </w:r>
          </w:p>
        </w:tc>
      </w:tr>
      <w:tr>
        <w:tblPrEx>
          <w:tblBorders>
            <w:top w:val="single" w:color="0000FF" w:sz="12" w:space="0"/>
            <w:left w:val="single" w:color="0000FF" w:sz="12" w:space="0"/>
            <w:bottom w:val="single" w:color="0000FF" w:sz="12" w:space="0"/>
            <w:right w:val="single" w:color="0000FF" w:sz="12" w:space="0"/>
            <w:insideH w:val="single" w:color="0000FF" w:sz="6" w:space="0"/>
            <w:insideV w:val="single" w:color="0000FF" w:sz="6" w:space="0"/>
          </w:tblBorders>
          <w:tblCellMar>
            <w:top w:w="0" w:type="dxa"/>
            <w:left w:w="108" w:type="dxa"/>
            <w:bottom w:w="0" w:type="dxa"/>
            <w:right w:w="108" w:type="dxa"/>
          </w:tblCellMar>
        </w:tblPrEx>
        <w:trPr>
          <w:trHeight w:val="454" w:hRule="atLeast"/>
          <w:jc w:val="center"/>
        </w:trPr>
        <w:tc>
          <w:tcPr>
            <w:tcW w:w="2785" w:type="dxa"/>
            <w:gridSpan w:val="2"/>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最小制动距离（m）（v</w:t>
            </w:r>
            <w:r>
              <w:rPr>
                <w:rFonts w:hint="eastAsia" w:ascii="仿宋_GB2312" w:hAnsi="宋体" w:eastAsia="仿宋_GB2312" w:cs="宋体"/>
                <w:color w:val="000000" w:themeColor="text1"/>
                <w:kern w:val="0"/>
                <w:sz w:val="24"/>
                <w:vertAlign w:val="subscript"/>
                <w14:textFill>
                  <w14:solidFill>
                    <w14:schemeClr w14:val="tx1"/>
                  </w14:solidFill>
                </w14:textFill>
              </w:rPr>
              <w:t>0</w:t>
            </w:r>
            <w:r>
              <w:rPr>
                <w:rFonts w:hint="eastAsia" w:ascii="仿宋_GB2312" w:hAnsi="宋体" w:eastAsia="仿宋_GB2312" w:cs="宋体"/>
                <w:color w:val="000000" w:themeColor="text1"/>
                <w:kern w:val="0"/>
                <w:sz w:val="24"/>
                <w14:textFill>
                  <w14:solidFill>
                    <w14:schemeClr w14:val="tx1"/>
                  </w14:solidFill>
                </w14:textFill>
              </w:rPr>
              <w:t>=20km/h）</w:t>
            </w:r>
          </w:p>
        </w:tc>
        <w:tc>
          <w:tcPr>
            <w:tcW w:w="5776" w:type="dxa"/>
            <w:vAlign w:val="center"/>
          </w:tcPr>
          <w:p>
            <w:pPr>
              <w:widowControl/>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4</w:t>
            </w:r>
          </w:p>
        </w:tc>
      </w:tr>
      <w:tr>
        <w:tblPrEx>
          <w:tblBorders>
            <w:top w:val="single" w:color="0000FF" w:sz="12" w:space="0"/>
            <w:left w:val="single" w:color="0000FF" w:sz="12" w:space="0"/>
            <w:bottom w:val="single" w:color="0000FF" w:sz="12" w:space="0"/>
            <w:right w:val="single" w:color="0000FF" w:sz="12" w:space="0"/>
            <w:insideH w:val="single" w:color="0000FF" w:sz="6" w:space="0"/>
            <w:insideV w:val="single" w:color="0000FF" w:sz="6" w:space="0"/>
          </w:tblBorders>
          <w:tblCellMar>
            <w:top w:w="0" w:type="dxa"/>
            <w:left w:w="108" w:type="dxa"/>
            <w:bottom w:w="0" w:type="dxa"/>
            <w:right w:w="108" w:type="dxa"/>
          </w:tblCellMar>
        </w:tblPrEx>
        <w:trPr>
          <w:trHeight w:val="454" w:hRule="atLeast"/>
          <w:jc w:val="center"/>
        </w:trPr>
        <w:tc>
          <w:tcPr>
            <w:tcW w:w="2785" w:type="dxa"/>
            <w:gridSpan w:val="2"/>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充电时间</w:t>
            </w:r>
          </w:p>
        </w:tc>
        <w:tc>
          <w:tcPr>
            <w:tcW w:w="5776" w:type="dxa"/>
            <w:vAlign w:val="center"/>
          </w:tcPr>
          <w:p>
            <w:pPr>
              <w:widowControl/>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6～8小时（放电率80%）</w:t>
            </w:r>
          </w:p>
        </w:tc>
      </w:tr>
      <w:tr>
        <w:tblPrEx>
          <w:tblBorders>
            <w:top w:val="single" w:color="0000FF" w:sz="12" w:space="0"/>
            <w:left w:val="single" w:color="0000FF" w:sz="12" w:space="0"/>
            <w:bottom w:val="single" w:color="0000FF" w:sz="12" w:space="0"/>
            <w:right w:val="single" w:color="0000FF" w:sz="12" w:space="0"/>
            <w:insideH w:val="single" w:color="0000FF" w:sz="6" w:space="0"/>
            <w:insideV w:val="single" w:color="0000FF" w:sz="6" w:space="0"/>
          </w:tblBorders>
          <w:tblCellMar>
            <w:top w:w="0" w:type="dxa"/>
            <w:left w:w="108" w:type="dxa"/>
            <w:bottom w:w="0" w:type="dxa"/>
            <w:right w:w="108" w:type="dxa"/>
          </w:tblCellMar>
        </w:tblPrEx>
        <w:trPr>
          <w:trHeight w:val="454" w:hRule="atLeast"/>
          <w:jc w:val="center"/>
        </w:trPr>
        <w:tc>
          <w:tcPr>
            <w:tcW w:w="2785" w:type="dxa"/>
            <w:gridSpan w:val="2"/>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能耗（kwh）</w:t>
            </w:r>
          </w:p>
        </w:tc>
        <w:tc>
          <w:tcPr>
            <w:tcW w:w="5776" w:type="dxa"/>
            <w:vAlign w:val="center"/>
          </w:tcPr>
          <w:p>
            <w:pPr>
              <w:widowControl/>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1.5</w:t>
            </w:r>
          </w:p>
        </w:tc>
      </w:tr>
      <w:tr>
        <w:tblPrEx>
          <w:tblBorders>
            <w:top w:val="single" w:color="0000FF" w:sz="12" w:space="0"/>
            <w:left w:val="single" w:color="0000FF" w:sz="12" w:space="0"/>
            <w:bottom w:val="single" w:color="0000FF" w:sz="12" w:space="0"/>
            <w:right w:val="single" w:color="0000FF" w:sz="12" w:space="0"/>
            <w:insideH w:val="single" w:color="0000FF" w:sz="6" w:space="0"/>
            <w:insideV w:val="single" w:color="0000FF" w:sz="6" w:space="0"/>
          </w:tblBorders>
          <w:tblCellMar>
            <w:top w:w="0" w:type="dxa"/>
            <w:left w:w="108" w:type="dxa"/>
            <w:bottom w:w="0" w:type="dxa"/>
            <w:right w:w="108" w:type="dxa"/>
          </w:tblCellMar>
        </w:tblPrEx>
        <w:trPr>
          <w:trHeight w:val="454" w:hRule="atLeast"/>
          <w:jc w:val="center"/>
        </w:trPr>
        <w:tc>
          <w:tcPr>
            <w:tcW w:w="2785" w:type="dxa"/>
            <w:gridSpan w:val="2"/>
            <w:vAlign w:val="center"/>
          </w:tcPr>
          <w:p>
            <w:pPr>
              <w:widowControl/>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轮胎</w:t>
            </w:r>
          </w:p>
        </w:tc>
        <w:tc>
          <w:tcPr>
            <w:tcW w:w="5776" w:type="dxa"/>
            <w:vAlign w:val="center"/>
          </w:tcPr>
          <w:p>
            <w:pPr>
              <w:widowControl/>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前后轮4.00-12</w:t>
            </w:r>
          </w:p>
        </w:tc>
      </w:tr>
      <w:tr>
        <w:tblPrEx>
          <w:tblBorders>
            <w:top w:val="single" w:color="0000FF" w:sz="12" w:space="0"/>
            <w:left w:val="single" w:color="0000FF" w:sz="12" w:space="0"/>
            <w:bottom w:val="single" w:color="0000FF" w:sz="12" w:space="0"/>
            <w:right w:val="single" w:color="0000FF" w:sz="12" w:space="0"/>
            <w:insideH w:val="single" w:color="0000FF" w:sz="6" w:space="0"/>
            <w:insideV w:val="single" w:color="0000FF" w:sz="6" w:space="0"/>
          </w:tblBorders>
          <w:tblCellMar>
            <w:top w:w="0" w:type="dxa"/>
            <w:left w:w="108" w:type="dxa"/>
            <w:bottom w:w="0" w:type="dxa"/>
            <w:right w:w="108" w:type="dxa"/>
          </w:tblCellMar>
        </w:tblPrEx>
        <w:trPr>
          <w:trHeight w:val="454" w:hRule="atLeast"/>
          <w:jc w:val="center"/>
        </w:trPr>
        <w:tc>
          <w:tcPr>
            <w:tcW w:w="8561" w:type="dxa"/>
            <w:gridSpan w:val="3"/>
            <w:vAlign w:val="center"/>
          </w:tcPr>
          <w:p>
            <w:pPr>
              <w:widowControl/>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三、性能</w:t>
            </w:r>
            <w:r>
              <w:rPr>
                <w:rFonts w:hint="eastAsia" w:ascii="仿宋_GB2312" w:eastAsia="仿宋_GB2312"/>
                <w:b/>
                <w:color w:val="000000" w:themeColor="text1"/>
                <w:sz w:val="24"/>
                <w:lang w:val="en-US" w:eastAsia="zh-CN"/>
                <w14:textFill>
                  <w14:solidFill>
                    <w14:schemeClr w14:val="tx1"/>
                  </w14:solidFill>
                </w14:textFill>
              </w:rPr>
              <w:t>要求</w:t>
            </w:r>
          </w:p>
        </w:tc>
      </w:tr>
      <w:tr>
        <w:tblPrEx>
          <w:tblBorders>
            <w:top w:val="single" w:color="0000FF" w:sz="12" w:space="0"/>
            <w:left w:val="single" w:color="0000FF" w:sz="12" w:space="0"/>
            <w:bottom w:val="single" w:color="0000FF" w:sz="12" w:space="0"/>
            <w:right w:val="single" w:color="0000FF" w:sz="12" w:space="0"/>
            <w:insideH w:val="single" w:color="0000FF" w:sz="6" w:space="0"/>
            <w:insideV w:val="single" w:color="0000FF" w:sz="6" w:space="0"/>
          </w:tblBorders>
          <w:tblCellMar>
            <w:top w:w="0" w:type="dxa"/>
            <w:left w:w="108" w:type="dxa"/>
            <w:bottom w:w="0" w:type="dxa"/>
            <w:right w:w="108" w:type="dxa"/>
          </w:tblCellMar>
        </w:tblPrEx>
        <w:trPr>
          <w:trHeight w:val="454" w:hRule="atLeast"/>
          <w:jc w:val="center"/>
        </w:trPr>
        <w:tc>
          <w:tcPr>
            <w:tcW w:w="8561" w:type="dxa"/>
            <w:gridSpan w:val="3"/>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箱体设计符合环卫需求，采用厚度1.2mm优质不锈钢板制作。设计有后箱门，后箱盖可打开。表面采用静电喷塑处理，具有耐酸碱和耐腐蚀性。箱体设计采用全密闭结构，底部安装橡皮密封条，可防止污水从门缝底部滴漏。箱体可旋转角度≤65°，垃圾可一次性倾倒，显著提高工作效率。为了保护箱体在翻转过程中不受损坏，箱体后面设有保险线条；</w:t>
            </w:r>
          </w:p>
        </w:tc>
      </w:tr>
      <w:tr>
        <w:tblPrEx>
          <w:tblBorders>
            <w:top w:val="single" w:color="0000FF" w:sz="12" w:space="0"/>
            <w:left w:val="single" w:color="0000FF" w:sz="12" w:space="0"/>
            <w:bottom w:val="single" w:color="0000FF" w:sz="12" w:space="0"/>
            <w:right w:val="single" w:color="0000FF" w:sz="12" w:space="0"/>
            <w:insideH w:val="single" w:color="0000FF" w:sz="6" w:space="0"/>
            <w:insideV w:val="single" w:color="0000FF" w:sz="6" w:space="0"/>
          </w:tblBorders>
          <w:tblCellMar>
            <w:top w:w="0" w:type="dxa"/>
            <w:left w:w="108" w:type="dxa"/>
            <w:bottom w:w="0" w:type="dxa"/>
            <w:right w:w="108" w:type="dxa"/>
          </w:tblCellMar>
        </w:tblPrEx>
        <w:trPr>
          <w:trHeight w:val="454" w:hRule="atLeast"/>
          <w:jc w:val="center"/>
        </w:trPr>
        <w:tc>
          <w:tcPr>
            <w:tcW w:w="8561" w:type="dxa"/>
            <w:gridSpan w:val="3"/>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（2）清运车采用一体化齿轮传动差速后桥，转弯行走性能稳定；具有液压升降系统：</w:t>
            </w:r>
          </w:p>
        </w:tc>
      </w:tr>
      <w:tr>
        <w:tblPrEx>
          <w:tblBorders>
            <w:top w:val="single" w:color="0000FF" w:sz="12" w:space="0"/>
            <w:left w:val="single" w:color="0000FF" w:sz="12" w:space="0"/>
            <w:bottom w:val="single" w:color="0000FF" w:sz="12" w:space="0"/>
            <w:right w:val="single" w:color="0000FF" w:sz="12" w:space="0"/>
            <w:insideH w:val="single" w:color="0000FF" w:sz="6" w:space="0"/>
            <w:insideV w:val="single" w:color="0000FF" w:sz="6" w:space="0"/>
          </w:tblBorders>
          <w:tblCellMar>
            <w:top w:w="0" w:type="dxa"/>
            <w:left w:w="108" w:type="dxa"/>
            <w:bottom w:w="0" w:type="dxa"/>
            <w:right w:w="108" w:type="dxa"/>
          </w:tblCellMar>
        </w:tblPrEx>
        <w:trPr>
          <w:trHeight w:val="454" w:hRule="atLeast"/>
          <w:jc w:val="center"/>
        </w:trPr>
        <w:tc>
          <w:tcPr>
            <w:tcW w:w="8561" w:type="dxa"/>
            <w:gridSpan w:val="3"/>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（3）工程液压自卸系统自卸垃圾。垃圾卸载时可一次性快速倾倒，操作简单，安全可靠。</w:t>
            </w:r>
          </w:p>
        </w:tc>
      </w:tr>
      <w:tr>
        <w:tblPrEx>
          <w:tblBorders>
            <w:top w:val="single" w:color="0000FF" w:sz="12" w:space="0"/>
            <w:left w:val="single" w:color="0000FF" w:sz="12" w:space="0"/>
            <w:bottom w:val="single" w:color="0000FF" w:sz="12" w:space="0"/>
            <w:right w:val="single" w:color="0000FF" w:sz="12" w:space="0"/>
            <w:insideH w:val="single" w:color="0000FF" w:sz="6" w:space="0"/>
            <w:insideV w:val="single" w:color="0000FF" w:sz="6" w:space="0"/>
          </w:tblBorders>
          <w:tblCellMar>
            <w:top w:w="0" w:type="dxa"/>
            <w:left w:w="108" w:type="dxa"/>
            <w:bottom w:w="0" w:type="dxa"/>
            <w:right w:w="108" w:type="dxa"/>
          </w:tblCellMar>
        </w:tblPrEx>
        <w:trPr>
          <w:trHeight w:val="454" w:hRule="atLeast"/>
          <w:jc w:val="center"/>
        </w:trPr>
        <w:tc>
          <w:tcPr>
            <w:tcW w:w="8561" w:type="dxa"/>
            <w:gridSpan w:val="3"/>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（4）车辆行驶：采用手把式控制，具有倒车功能</w:t>
            </w:r>
          </w:p>
        </w:tc>
      </w:tr>
      <w:tr>
        <w:tblPrEx>
          <w:tblBorders>
            <w:top w:val="single" w:color="0000FF" w:sz="12" w:space="0"/>
            <w:left w:val="single" w:color="0000FF" w:sz="12" w:space="0"/>
            <w:bottom w:val="single" w:color="0000FF" w:sz="12" w:space="0"/>
            <w:right w:val="single" w:color="0000FF" w:sz="12" w:space="0"/>
            <w:insideH w:val="single" w:color="0000FF" w:sz="6" w:space="0"/>
            <w:insideV w:val="single" w:color="0000FF" w:sz="6" w:space="0"/>
          </w:tblBorders>
          <w:tblCellMar>
            <w:top w:w="0" w:type="dxa"/>
            <w:left w:w="108" w:type="dxa"/>
            <w:bottom w:w="0" w:type="dxa"/>
            <w:right w:w="108" w:type="dxa"/>
          </w:tblCellMar>
        </w:tblPrEx>
        <w:trPr>
          <w:trHeight w:val="454" w:hRule="atLeast"/>
          <w:jc w:val="center"/>
        </w:trPr>
        <w:tc>
          <w:tcPr>
            <w:tcW w:w="8561" w:type="dxa"/>
            <w:gridSpan w:val="3"/>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（5）箱体两侧及后部张贴反光膜，提高安全系数。</w:t>
            </w:r>
          </w:p>
        </w:tc>
      </w:tr>
    </w:tbl>
    <w:p>
      <w:pPr>
        <w:pStyle w:val="9"/>
        <w:keepNext w:val="0"/>
        <w:keepLines w:val="0"/>
        <w:pageBreakBefore w:val="0"/>
        <w:widowControl/>
        <w:shd w:val="clear" w:color="auto" w:fill="FFFFFF"/>
        <w:kinsoku/>
        <w:wordWrap/>
        <w:overflowPunct/>
        <w:topLinePunct w:val="0"/>
        <w:autoSpaceDE/>
        <w:autoSpaceDN/>
        <w:bidi w:val="0"/>
        <w:adjustRightInd w:val="0"/>
        <w:snapToGrid w:val="0"/>
        <w:spacing w:before="157" w:beforeLines="50" w:beforeAutospacing="0" w:after="157" w:afterLines="50" w:afterAutospacing="0" w:line="30" w:lineRule="atLeast"/>
        <w:ind w:firstLine="480" w:firstLineChars="200"/>
        <w:jc w:val="both"/>
        <w:textAlignment w:val="auto"/>
        <w:outlineLvl w:val="1"/>
        <w:rPr>
          <w:rFonts w:hint="eastAsia" w:ascii="仿宋" w:hAnsi="仿宋" w:eastAsia="仿宋" w:cs="仿宋"/>
          <w:color w:val="444444"/>
          <w:kern w:val="0"/>
          <w:sz w:val="24"/>
          <w:szCs w:val="24"/>
          <w:highlight w:val="none"/>
          <w:lang w:val="en-US" w:eastAsia="zh-CN"/>
        </w:rPr>
      </w:pPr>
    </w:p>
    <w:p>
      <w:pPr>
        <w:pStyle w:val="9"/>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157" w:beforeLines="50" w:beforeAutospacing="0" w:after="157" w:afterLines="50" w:afterAutospacing="0" w:line="30" w:lineRule="atLeast"/>
        <w:ind w:firstLine="482" w:firstLineChars="200"/>
        <w:jc w:val="both"/>
        <w:textAlignment w:val="auto"/>
        <w:outlineLvl w:val="1"/>
        <w:rPr>
          <w:rFonts w:hint="eastAsia" w:ascii="黑体" w:hAnsi="黑体" w:eastAsia="黑体" w:cs="黑体"/>
          <w:b/>
          <w:bCs/>
          <w:highlight w:val="none"/>
          <w:shd w:val="clear" w:color="auto" w:fill="FFFFFF"/>
        </w:rPr>
      </w:pPr>
      <w:r>
        <w:rPr>
          <w:rFonts w:hint="eastAsia" w:ascii="黑体" w:hAnsi="黑体" w:eastAsia="黑体" w:cs="黑体"/>
          <w:b/>
          <w:bCs/>
          <w:highlight w:val="none"/>
          <w:shd w:val="clear" w:color="auto" w:fill="FFFFFF"/>
        </w:rPr>
        <w:t>三、商务要求</w:t>
      </w:r>
    </w:p>
    <w:p>
      <w:pPr>
        <w:pStyle w:val="9"/>
        <w:keepNext w:val="0"/>
        <w:keepLines w:val="0"/>
        <w:pageBreakBefore w:val="0"/>
        <w:widowControl/>
        <w:shd w:val="clear" w:color="auto" w:fill="FFFFFF"/>
        <w:kinsoku/>
        <w:wordWrap/>
        <w:overflowPunct/>
        <w:topLinePunct w:val="0"/>
        <w:autoSpaceDE/>
        <w:autoSpaceDN/>
        <w:bidi w:val="0"/>
        <w:adjustRightInd w:val="0"/>
        <w:snapToGrid w:val="0"/>
        <w:spacing w:before="157" w:beforeLines="50" w:beforeAutospacing="0" w:after="157" w:afterLines="50" w:afterAutospacing="0" w:line="30" w:lineRule="atLeast"/>
        <w:ind w:firstLine="480" w:firstLineChars="200"/>
        <w:jc w:val="both"/>
        <w:textAlignment w:val="auto"/>
        <w:rPr>
          <w:rFonts w:hint="eastAsia" w:ascii="仿宋" w:hAnsi="仿宋" w:eastAsia="仿宋" w:cs="仿宋"/>
          <w:highlight w:val="none"/>
          <w:shd w:val="clear" w:color="auto" w:fill="FFFFFF"/>
        </w:rPr>
      </w:pPr>
      <w:r>
        <w:rPr>
          <w:rFonts w:hint="eastAsia" w:ascii="仿宋" w:hAnsi="仿宋" w:eastAsia="仿宋" w:cs="仿宋"/>
          <w:highlight w:val="none"/>
          <w:shd w:val="clear" w:color="auto" w:fill="FFFFFF"/>
        </w:rPr>
        <w:t>1、实施时间：接到采购人通知后10个日历天内供货至采购人指定地点安装且调试完毕</w:t>
      </w:r>
      <w:r>
        <w:rPr>
          <w:rFonts w:hint="eastAsia" w:ascii="仿宋" w:hAnsi="仿宋" w:eastAsia="仿宋" w:cs="仿宋"/>
          <w:highlight w:val="none"/>
          <w:shd w:val="clear" w:color="auto" w:fill="FFFFFF"/>
          <w:lang w:eastAsia="zh-CN"/>
        </w:rPr>
        <w:t>，</w:t>
      </w:r>
      <w:r>
        <w:rPr>
          <w:rFonts w:hint="eastAsia" w:ascii="仿宋" w:hAnsi="仿宋" w:eastAsia="仿宋" w:cs="仿宋"/>
          <w:highlight w:val="none"/>
          <w:shd w:val="clear" w:color="auto" w:fill="FFFFFF"/>
          <w:lang w:val="en-US" w:eastAsia="zh-CN"/>
        </w:rPr>
        <w:t>达到上路行驶标准</w:t>
      </w:r>
      <w:r>
        <w:rPr>
          <w:rFonts w:hint="eastAsia" w:ascii="仿宋" w:hAnsi="仿宋" w:eastAsia="仿宋" w:cs="仿宋"/>
          <w:highlight w:val="none"/>
          <w:shd w:val="clear" w:color="auto" w:fill="FFFFFF"/>
        </w:rPr>
        <w:t>。同时随车交付车辆合格证、保修单</w:t>
      </w:r>
      <w:r>
        <w:rPr>
          <w:rFonts w:hint="eastAsia" w:ascii="仿宋" w:hAnsi="仿宋" w:eastAsia="仿宋" w:cs="仿宋"/>
          <w:highlight w:val="none"/>
          <w:shd w:val="clear" w:color="auto" w:fill="FFFFFF"/>
          <w:lang w:eastAsia="zh-CN"/>
        </w:rPr>
        <w:t>、</w:t>
      </w:r>
      <w:r>
        <w:rPr>
          <w:rFonts w:hint="eastAsia" w:ascii="仿宋" w:hAnsi="仿宋" w:eastAsia="仿宋" w:cs="仿宋"/>
          <w:highlight w:val="none"/>
          <w:shd w:val="clear" w:color="auto" w:fill="FFFFFF"/>
          <w:lang w:val="en-US" w:eastAsia="zh-CN"/>
        </w:rPr>
        <w:t>发票</w:t>
      </w:r>
      <w:r>
        <w:rPr>
          <w:rFonts w:hint="eastAsia" w:ascii="仿宋" w:hAnsi="仿宋" w:eastAsia="仿宋" w:cs="仿宋"/>
          <w:highlight w:val="none"/>
          <w:shd w:val="clear" w:color="auto" w:fill="FFFFFF"/>
        </w:rPr>
        <w:t>等配套资料。</w:t>
      </w:r>
    </w:p>
    <w:p>
      <w:pPr>
        <w:pStyle w:val="9"/>
        <w:keepNext w:val="0"/>
        <w:keepLines w:val="0"/>
        <w:pageBreakBefore w:val="0"/>
        <w:widowControl/>
        <w:shd w:val="clear" w:color="auto" w:fill="FFFFFF"/>
        <w:kinsoku/>
        <w:wordWrap/>
        <w:overflowPunct/>
        <w:topLinePunct w:val="0"/>
        <w:autoSpaceDE/>
        <w:autoSpaceDN/>
        <w:bidi w:val="0"/>
        <w:adjustRightInd w:val="0"/>
        <w:snapToGrid w:val="0"/>
        <w:spacing w:before="157" w:beforeLines="50" w:beforeAutospacing="0" w:after="157" w:afterLines="50" w:afterAutospacing="0" w:line="30" w:lineRule="atLeast"/>
        <w:ind w:firstLine="480" w:firstLineChars="200"/>
        <w:jc w:val="both"/>
        <w:textAlignment w:val="auto"/>
        <w:rPr>
          <w:rFonts w:hint="default"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rPr>
        <w:t>2、实施地点：</w:t>
      </w:r>
      <w:r>
        <w:rPr>
          <w:rFonts w:hint="eastAsia" w:ascii="仿宋" w:hAnsi="仿宋" w:eastAsia="仿宋" w:cs="仿宋"/>
          <w:highlight w:val="none"/>
          <w:shd w:val="clear" w:color="auto" w:fill="FFFFFF"/>
          <w:lang w:val="en-US" w:eastAsia="zh-CN"/>
        </w:rPr>
        <w:t>南通兴东国际机场航站区管理部</w:t>
      </w:r>
    </w:p>
    <w:p>
      <w:pPr>
        <w:pStyle w:val="9"/>
        <w:keepNext w:val="0"/>
        <w:keepLines w:val="0"/>
        <w:pageBreakBefore w:val="0"/>
        <w:widowControl/>
        <w:shd w:val="clear" w:color="auto" w:fill="FFFFFF"/>
        <w:kinsoku/>
        <w:wordWrap/>
        <w:overflowPunct/>
        <w:topLinePunct w:val="0"/>
        <w:autoSpaceDE/>
        <w:autoSpaceDN/>
        <w:bidi w:val="0"/>
        <w:adjustRightInd w:val="0"/>
        <w:snapToGrid w:val="0"/>
        <w:spacing w:before="157" w:beforeLines="50" w:beforeAutospacing="0" w:after="157" w:afterLines="50" w:afterAutospacing="0" w:line="30" w:lineRule="atLeast"/>
        <w:ind w:firstLine="480" w:firstLineChars="200"/>
        <w:jc w:val="both"/>
        <w:textAlignment w:val="auto"/>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3、质保时间：质保期不低于三年。</w:t>
      </w:r>
    </w:p>
    <w:p>
      <w:pPr>
        <w:pStyle w:val="9"/>
        <w:keepNext w:val="0"/>
        <w:keepLines w:val="0"/>
        <w:pageBreakBefore w:val="0"/>
        <w:widowControl/>
        <w:shd w:val="clear" w:color="auto" w:fill="FFFFFF"/>
        <w:kinsoku/>
        <w:wordWrap/>
        <w:overflowPunct/>
        <w:topLinePunct w:val="0"/>
        <w:autoSpaceDE/>
        <w:autoSpaceDN/>
        <w:bidi w:val="0"/>
        <w:adjustRightInd w:val="0"/>
        <w:snapToGrid w:val="0"/>
        <w:spacing w:before="157" w:beforeLines="50" w:beforeAutospacing="0" w:after="157" w:afterLines="50" w:afterAutospacing="0" w:line="30" w:lineRule="atLeast"/>
        <w:ind w:firstLine="480" w:firstLineChars="200"/>
        <w:jc w:val="both"/>
        <w:textAlignment w:val="auto"/>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4、</w:t>
      </w:r>
      <w:r>
        <w:rPr>
          <w:rFonts w:hint="eastAsia" w:ascii="仿宋" w:hAnsi="仿宋" w:eastAsia="仿宋" w:cs="仿宋"/>
          <w:highlight w:val="none"/>
          <w:shd w:val="clear" w:color="auto" w:fill="FFFFFF"/>
          <w:lang w:val="zh-CN"/>
        </w:rPr>
        <w:t>履约担保：</w:t>
      </w:r>
      <w:r>
        <w:rPr>
          <w:rFonts w:hint="eastAsia" w:ascii="仿宋" w:hAnsi="仿宋" w:eastAsia="仿宋" w:cs="仿宋"/>
          <w:highlight w:val="none"/>
          <w:shd w:val="clear" w:color="auto" w:fill="FFFFFF"/>
          <w:lang w:val="en-US" w:eastAsia="zh-CN"/>
        </w:rPr>
        <w:t>无。</w:t>
      </w:r>
    </w:p>
    <w:p>
      <w:pPr>
        <w:pStyle w:val="9"/>
        <w:keepNext w:val="0"/>
        <w:keepLines w:val="0"/>
        <w:pageBreakBefore w:val="0"/>
        <w:widowControl/>
        <w:shd w:val="clear" w:color="auto" w:fill="FFFFFF"/>
        <w:kinsoku/>
        <w:wordWrap/>
        <w:overflowPunct/>
        <w:topLinePunct w:val="0"/>
        <w:autoSpaceDE/>
        <w:autoSpaceDN/>
        <w:bidi w:val="0"/>
        <w:adjustRightInd w:val="0"/>
        <w:snapToGrid w:val="0"/>
        <w:spacing w:before="157" w:beforeLines="50" w:beforeAutospacing="0" w:after="157" w:afterLines="50" w:afterAutospacing="0" w:line="30" w:lineRule="atLeast"/>
        <w:ind w:firstLine="480" w:firstLineChars="200"/>
        <w:jc w:val="both"/>
        <w:textAlignment w:val="auto"/>
        <w:rPr>
          <w:rFonts w:hint="default"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5、售后服务：质保期内免费维修，接到甲方通知后2小时内响应，4小时内到达现场，8小时内完成采购方提出维修要求，如需更换货物或送修，必须在2个工作日内解决。</w:t>
      </w:r>
    </w:p>
    <w:p>
      <w:pPr>
        <w:pStyle w:val="9"/>
        <w:widowControl/>
        <w:shd w:val="clear" w:color="auto" w:fill="FFFFFF"/>
        <w:adjustRightInd w:val="0"/>
        <w:snapToGrid w:val="0"/>
        <w:ind w:firstLine="480" w:firstLineChars="200"/>
        <w:rPr>
          <w:rFonts w:hint="eastAsia" w:ascii="仿宋" w:hAnsi="仿宋" w:eastAsia="仿宋" w:cs="仿宋"/>
          <w:i w:val="0"/>
          <w:iCs w:val="0"/>
          <w:caps w:val="0"/>
          <w:color w:val="222222"/>
          <w:spacing w:val="0"/>
          <w:sz w:val="24"/>
          <w:szCs w:val="24"/>
          <w:highlight w:val="none"/>
          <w:shd w:val="clear" w:color="auto" w:fill="FFFFFF"/>
        </w:rPr>
      </w:pPr>
      <w:r>
        <w:rPr>
          <w:rFonts w:hint="eastAsia" w:ascii="仿宋" w:hAnsi="仿宋" w:eastAsia="仿宋" w:cs="仿宋"/>
          <w:sz w:val="24"/>
          <w:szCs w:val="24"/>
          <w:highlight w:val="none"/>
          <w:shd w:val="clear" w:color="auto" w:fill="FFFFFF"/>
          <w:lang w:val="en-US" w:eastAsia="zh-CN"/>
        </w:rPr>
        <w:t>6</w:t>
      </w:r>
      <w:r>
        <w:rPr>
          <w:rFonts w:hint="eastAsia" w:ascii="仿宋" w:hAnsi="仿宋" w:eastAsia="仿宋" w:cs="仿宋"/>
          <w:sz w:val="24"/>
          <w:szCs w:val="24"/>
          <w:highlight w:val="none"/>
          <w:shd w:val="clear" w:color="auto" w:fill="FFFFFF"/>
        </w:rPr>
        <w:t>、付款</w:t>
      </w:r>
      <w:r>
        <w:rPr>
          <w:rFonts w:hint="eastAsia" w:ascii="仿宋" w:hAnsi="仿宋" w:eastAsia="仿宋" w:cs="仿宋"/>
          <w:sz w:val="24"/>
          <w:szCs w:val="24"/>
          <w:highlight w:val="none"/>
          <w:shd w:val="clear" w:color="auto" w:fill="FFFFFF"/>
          <w:lang w:val="en-US" w:eastAsia="zh-CN"/>
        </w:rPr>
        <w:t>方式及</w:t>
      </w:r>
      <w:r>
        <w:rPr>
          <w:rFonts w:hint="eastAsia" w:ascii="仿宋" w:hAnsi="仿宋" w:eastAsia="仿宋" w:cs="仿宋"/>
          <w:sz w:val="24"/>
          <w:szCs w:val="24"/>
          <w:highlight w:val="none"/>
          <w:shd w:val="clear" w:color="auto" w:fill="FFFFFF"/>
        </w:rPr>
        <w:t>条件：</w:t>
      </w:r>
      <w:r>
        <w:rPr>
          <w:rFonts w:hint="eastAsia" w:ascii="仿宋" w:hAnsi="仿宋" w:eastAsia="仿宋" w:cs="仿宋"/>
          <w:i w:val="0"/>
          <w:iCs w:val="0"/>
          <w:caps w:val="0"/>
          <w:color w:val="222222"/>
          <w:spacing w:val="0"/>
          <w:sz w:val="24"/>
          <w:szCs w:val="24"/>
          <w:highlight w:val="none"/>
          <w:shd w:val="clear" w:color="auto" w:fill="FFFFFF"/>
        </w:rPr>
        <w:t>验收合格后，</w:t>
      </w:r>
      <w:r>
        <w:rPr>
          <w:rFonts w:hint="eastAsia" w:ascii="仿宋" w:hAnsi="仿宋" w:eastAsia="仿宋" w:cs="仿宋"/>
          <w:i w:val="0"/>
          <w:iCs w:val="0"/>
          <w:caps w:val="0"/>
          <w:color w:val="222222"/>
          <w:spacing w:val="0"/>
          <w:sz w:val="24"/>
          <w:szCs w:val="24"/>
          <w:highlight w:val="none"/>
          <w:shd w:val="clear" w:color="auto" w:fill="FFFFFF"/>
          <w:lang w:eastAsia="zh-CN"/>
        </w:rPr>
        <w:t>中标人出具全额增值税专用发票，</w:t>
      </w:r>
      <w:r>
        <w:rPr>
          <w:rFonts w:hint="eastAsia" w:ascii="仿宋" w:hAnsi="仿宋" w:eastAsia="仿宋" w:cs="仿宋"/>
          <w:i w:val="0"/>
          <w:iCs w:val="0"/>
          <w:caps w:val="0"/>
          <w:color w:val="222222"/>
          <w:spacing w:val="0"/>
          <w:sz w:val="24"/>
          <w:szCs w:val="24"/>
          <w:highlight w:val="none"/>
          <w:shd w:val="clear" w:color="auto" w:fill="FFFFFF"/>
          <w:lang w:val="en-US" w:eastAsia="zh-CN"/>
        </w:rPr>
        <w:t>南通机场集团有限公司支</w:t>
      </w:r>
      <w:r>
        <w:rPr>
          <w:rFonts w:hint="eastAsia" w:ascii="仿宋" w:hAnsi="仿宋" w:eastAsia="仿宋" w:cs="仿宋"/>
          <w:i w:val="0"/>
          <w:iCs w:val="0"/>
          <w:caps w:val="0"/>
          <w:color w:val="222222"/>
          <w:spacing w:val="0"/>
          <w:sz w:val="24"/>
          <w:szCs w:val="24"/>
          <w:highlight w:val="none"/>
          <w:shd w:val="clear" w:color="auto" w:fill="FFFFFF"/>
        </w:rPr>
        <w:t>付</w:t>
      </w:r>
      <w:r>
        <w:rPr>
          <w:rFonts w:hint="eastAsia" w:ascii="仿宋" w:hAnsi="仿宋" w:eastAsia="仿宋" w:cs="仿宋"/>
          <w:i w:val="0"/>
          <w:iCs w:val="0"/>
          <w:caps w:val="0"/>
          <w:color w:val="222222"/>
          <w:spacing w:val="0"/>
          <w:sz w:val="24"/>
          <w:szCs w:val="24"/>
          <w:highlight w:val="none"/>
          <w:shd w:val="clear" w:color="auto" w:fill="FFFFFF"/>
          <w:lang w:val="en-US" w:eastAsia="zh-CN"/>
        </w:rPr>
        <w:t>对应</w:t>
      </w:r>
      <w:r>
        <w:rPr>
          <w:rFonts w:hint="eastAsia" w:ascii="仿宋" w:hAnsi="仿宋" w:eastAsia="仿宋" w:cs="仿宋"/>
          <w:i w:val="0"/>
          <w:iCs w:val="0"/>
          <w:caps w:val="0"/>
          <w:color w:val="222222"/>
          <w:spacing w:val="0"/>
          <w:sz w:val="24"/>
          <w:szCs w:val="24"/>
          <w:highlight w:val="none"/>
          <w:shd w:val="clear" w:color="auto" w:fill="FFFFFF"/>
        </w:rPr>
        <w:t>货款的</w:t>
      </w:r>
      <w:r>
        <w:rPr>
          <w:rFonts w:hint="eastAsia" w:ascii="仿宋" w:hAnsi="仿宋" w:eastAsia="仿宋" w:cs="仿宋"/>
          <w:i w:val="0"/>
          <w:iCs w:val="0"/>
          <w:caps w:val="0"/>
          <w:color w:val="222222"/>
          <w:spacing w:val="0"/>
          <w:sz w:val="24"/>
          <w:szCs w:val="24"/>
          <w:highlight w:val="none"/>
          <w:shd w:val="clear" w:color="auto" w:fill="FFFFFF"/>
          <w:lang w:val="en-US" w:eastAsia="zh-CN"/>
        </w:rPr>
        <w:t>95</w:t>
      </w:r>
      <w:r>
        <w:rPr>
          <w:rFonts w:hint="eastAsia" w:ascii="仿宋" w:hAnsi="仿宋" w:eastAsia="仿宋" w:cs="仿宋"/>
          <w:i w:val="0"/>
          <w:iCs w:val="0"/>
          <w:caps w:val="0"/>
          <w:color w:val="222222"/>
          <w:spacing w:val="0"/>
          <w:sz w:val="24"/>
          <w:szCs w:val="24"/>
          <w:highlight w:val="none"/>
          <w:shd w:val="clear" w:color="auto" w:fill="FFFFFF"/>
        </w:rPr>
        <w:t>%，留有</w:t>
      </w:r>
      <w:r>
        <w:rPr>
          <w:rFonts w:hint="eastAsia" w:ascii="仿宋" w:hAnsi="仿宋" w:eastAsia="仿宋" w:cs="仿宋"/>
          <w:i w:val="0"/>
          <w:iCs w:val="0"/>
          <w:caps w:val="0"/>
          <w:color w:val="222222"/>
          <w:spacing w:val="0"/>
          <w:sz w:val="24"/>
          <w:szCs w:val="24"/>
          <w:highlight w:val="none"/>
          <w:shd w:val="clear" w:color="auto" w:fill="FFFFFF"/>
          <w:lang w:val="en-US" w:eastAsia="zh-CN"/>
        </w:rPr>
        <w:t>5</w:t>
      </w:r>
      <w:r>
        <w:rPr>
          <w:rFonts w:hint="eastAsia" w:ascii="仿宋" w:hAnsi="仿宋" w:eastAsia="仿宋" w:cs="仿宋"/>
          <w:i w:val="0"/>
          <w:iCs w:val="0"/>
          <w:caps w:val="0"/>
          <w:color w:val="222222"/>
          <w:spacing w:val="0"/>
          <w:sz w:val="24"/>
          <w:szCs w:val="24"/>
          <w:highlight w:val="none"/>
          <w:shd w:val="clear" w:color="auto" w:fill="FFFFFF"/>
        </w:rPr>
        <w:t>%</w:t>
      </w:r>
      <w:r>
        <w:rPr>
          <w:rFonts w:hint="eastAsia" w:ascii="仿宋" w:hAnsi="仿宋" w:eastAsia="仿宋" w:cs="仿宋"/>
          <w:i w:val="0"/>
          <w:iCs w:val="0"/>
          <w:caps w:val="0"/>
          <w:color w:val="222222"/>
          <w:spacing w:val="0"/>
          <w:sz w:val="24"/>
          <w:szCs w:val="24"/>
          <w:highlight w:val="none"/>
          <w:shd w:val="clear" w:color="auto" w:fill="FFFFFF"/>
          <w:lang w:val="en-US" w:eastAsia="zh-CN"/>
        </w:rPr>
        <w:t>的</w:t>
      </w:r>
      <w:r>
        <w:rPr>
          <w:rFonts w:hint="eastAsia" w:ascii="仿宋" w:hAnsi="仿宋" w:eastAsia="仿宋" w:cs="仿宋"/>
          <w:i w:val="0"/>
          <w:iCs w:val="0"/>
          <w:caps w:val="0"/>
          <w:color w:val="222222"/>
          <w:spacing w:val="0"/>
          <w:sz w:val="24"/>
          <w:szCs w:val="24"/>
          <w:highlight w:val="none"/>
          <w:shd w:val="clear" w:color="auto" w:fill="FFFFFF"/>
        </w:rPr>
        <w:t>质</w:t>
      </w:r>
      <w:r>
        <w:rPr>
          <w:rFonts w:hint="eastAsia" w:ascii="仿宋" w:hAnsi="仿宋" w:eastAsia="仿宋" w:cs="仿宋"/>
          <w:i w:val="0"/>
          <w:iCs w:val="0"/>
          <w:caps w:val="0"/>
          <w:color w:val="222222"/>
          <w:spacing w:val="0"/>
          <w:sz w:val="24"/>
          <w:szCs w:val="24"/>
          <w:highlight w:val="none"/>
          <w:shd w:val="clear" w:color="auto" w:fill="FFFFFF"/>
          <w:lang w:val="en-US" w:eastAsia="zh-CN"/>
        </w:rPr>
        <w:t>量</w:t>
      </w:r>
      <w:r>
        <w:rPr>
          <w:rFonts w:hint="eastAsia" w:ascii="仿宋" w:hAnsi="仿宋" w:eastAsia="仿宋" w:cs="仿宋"/>
          <w:i w:val="0"/>
          <w:iCs w:val="0"/>
          <w:caps w:val="0"/>
          <w:color w:val="222222"/>
          <w:spacing w:val="0"/>
          <w:sz w:val="24"/>
          <w:szCs w:val="24"/>
          <w:highlight w:val="none"/>
          <w:shd w:val="clear" w:color="auto" w:fill="FFFFFF"/>
        </w:rPr>
        <w:t>保</w:t>
      </w:r>
      <w:r>
        <w:rPr>
          <w:rFonts w:hint="eastAsia" w:ascii="仿宋" w:hAnsi="仿宋" w:eastAsia="仿宋" w:cs="仿宋"/>
          <w:i w:val="0"/>
          <w:iCs w:val="0"/>
          <w:caps w:val="0"/>
          <w:color w:val="222222"/>
          <w:spacing w:val="0"/>
          <w:sz w:val="24"/>
          <w:szCs w:val="24"/>
          <w:highlight w:val="none"/>
          <w:shd w:val="clear" w:color="auto" w:fill="FFFFFF"/>
          <w:lang w:val="en-US" w:eastAsia="zh-CN"/>
        </w:rPr>
        <w:t>证</w:t>
      </w:r>
      <w:r>
        <w:rPr>
          <w:rFonts w:hint="eastAsia" w:ascii="仿宋" w:hAnsi="仿宋" w:eastAsia="仿宋" w:cs="仿宋"/>
          <w:i w:val="0"/>
          <w:iCs w:val="0"/>
          <w:caps w:val="0"/>
          <w:color w:val="222222"/>
          <w:spacing w:val="0"/>
          <w:sz w:val="24"/>
          <w:szCs w:val="24"/>
          <w:highlight w:val="none"/>
          <w:shd w:val="clear" w:color="auto" w:fill="FFFFFF"/>
        </w:rPr>
        <w:t>金，待质保期</w:t>
      </w:r>
      <w:r>
        <w:rPr>
          <w:rFonts w:hint="eastAsia" w:ascii="仿宋" w:hAnsi="仿宋" w:eastAsia="仿宋" w:cs="仿宋"/>
          <w:i w:val="0"/>
          <w:iCs w:val="0"/>
          <w:caps w:val="0"/>
          <w:color w:val="222222"/>
          <w:spacing w:val="0"/>
          <w:sz w:val="24"/>
          <w:szCs w:val="24"/>
          <w:highlight w:val="none"/>
          <w:shd w:val="clear" w:color="auto" w:fill="FFFFFF"/>
          <w:lang w:eastAsia="zh-CN"/>
        </w:rPr>
        <w:t>（</w:t>
      </w:r>
      <w:r>
        <w:rPr>
          <w:rFonts w:hint="eastAsia" w:ascii="仿宋" w:hAnsi="仿宋" w:eastAsia="仿宋" w:cs="仿宋"/>
          <w:i w:val="0"/>
          <w:iCs w:val="0"/>
          <w:caps w:val="0"/>
          <w:color w:val="222222"/>
          <w:spacing w:val="0"/>
          <w:sz w:val="24"/>
          <w:szCs w:val="24"/>
          <w:highlight w:val="none"/>
          <w:shd w:val="clear" w:color="auto" w:fill="FFFFFF"/>
        </w:rPr>
        <w:t>三年</w:t>
      </w:r>
      <w:r>
        <w:rPr>
          <w:rFonts w:hint="eastAsia" w:ascii="仿宋" w:hAnsi="仿宋" w:eastAsia="仿宋" w:cs="仿宋"/>
          <w:i w:val="0"/>
          <w:iCs w:val="0"/>
          <w:caps w:val="0"/>
          <w:color w:val="222222"/>
          <w:spacing w:val="0"/>
          <w:sz w:val="24"/>
          <w:szCs w:val="24"/>
          <w:highlight w:val="none"/>
          <w:shd w:val="clear" w:color="auto" w:fill="FFFFFF"/>
          <w:lang w:eastAsia="zh-CN"/>
        </w:rPr>
        <w:t>）</w:t>
      </w:r>
      <w:r>
        <w:rPr>
          <w:rFonts w:hint="eastAsia" w:ascii="仿宋" w:hAnsi="仿宋" w:eastAsia="仿宋" w:cs="仿宋"/>
          <w:i w:val="0"/>
          <w:iCs w:val="0"/>
          <w:caps w:val="0"/>
          <w:color w:val="222222"/>
          <w:spacing w:val="0"/>
          <w:sz w:val="24"/>
          <w:szCs w:val="24"/>
          <w:highlight w:val="none"/>
          <w:shd w:val="clear" w:color="auto" w:fill="FFFFFF"/>
        </w:rPr>
        <w:t>满后一次性无息返还。</w:t>
      </w:r>
    </w:p>
    <w:p>
      <w:pPr>
        <w:pStyle w:val="9"/>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157" w:beforeLines="50" w:beforeAutospacing="0" w:after="157" w:afterLines="50" w:afterAutospacing="0" w:line="30" w:lineRule="atLeast"/>
        <w:ind w:firstLine="482" w:firstLineChars="200"/>
        <w:jc w:val="both"/>
        <w:textAlignment w:val="auto"/>
        <w:outlineLvl w:val="1"/>
        <w:rPr>
          <w:rFonts w:hint="eastAsia" w:ascii="黑体" w:hAnsi="黑体" w:eastAsia="黑体" w:cs="黑体"/>
          <w:b/>
          <w:bCs/>
          <w:highlight w:val="none"/>
          <w:shd w:val="clear" w:color="auto" w:fill="FFFFFF"/>
          <w:lang w:val="en-US" w:eastAsia="zh-CN"/>
        </w:rPr>
      </w:pPr>
      <w:r>
        <w:rPr>
          <w:rFonts w:hint="eastAsia" w:ascii="黑体" w:hAnsi="黑体" w:eastAsia="黑体" w:cs="黑体"/>
          <w:b/>
          <w:bCs/>
          <w:highlight w:val="none"/>
          <w:shd w:val="clear" w:color="auto" w:fill="FFFFFF"/>
          <w:lang w:val="en-US" w:eastAsia="zh-CN"/>
        </w:rPr>
        <w:t>四</w:t>
      </w:r>
      <w:r>
        <w:rPr>
          <w:rFonts w:hint="eastAsia" w:ascii="黑体" w:hAnsi="黑体" w:eastAsia="黑体" w:cs="黑体"/>
          <w:b/>
          <w:bCs/>
          <w:highlight w:val="none"/>
          <w:shd w:val="clear" w:color="auto" w:fill="FFFFFF"/>
        </w:rPr>
        <w:t>、</w:t>
      </w:r>
      <w:r>
        <w:rPr>
          <w:rFonts w:hint="eastAsia" w:ascii="黑体" w:hAnsi="黑体" w:eastAsia="黑体" w:cs="黑体"/>
          <w:b/>
          <w:bCs/>
          <w:highlight w:val="none"/>
          <w:shd w:val="clear" w:color="auto" w:fill="FFFFFF"/>
          <w:lang w:val="en-US" w:eastAsia="zh-CN"/>
        </w:rPr>
        <w:t>密闭箱式电动三轮车样式（如图，仅供参考）：</w:t>
      </w:r>
    </w:p>
    <w:p>
      <w:pPr>
        <w:pStyle w:val="9"/>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157" w:beforeLines="50" w:beforeAutospacing="0" w:after="157" w:afterLines="50" w:afterAutospacing="0" w:line="30" w:lineRule="atLeast"/>
        <w:ind w:firstLine="482" w:firstLineChars="200"/>
        <w:jc w:val="both"/>
        <w:textAlignment w:val="auto"/>
        <w:outlineLvl w:val="1"/>
        <w:rPr>
          <w:rFonts w:hint="eastAsia" w:ascii="黑体" w:hAnsi="黑体" w:eastAsia="黑体" w:cs="黑体"/>
          <w:b/>
          <w:bCs/>
          <w:highlight w:val="none"/>
          <w:shd w:val="clear" w:color="auto" w:fill="FFFFFF"/>
          <w:lang w:val="en-US" w:eastAsia="zh-CN"/>
        </w:rPr>
      </w:pPr>
      <w:r>
        <w:rPr>
          <w:rFonts w:hint="eastAsia" w:ascii="黑体" w:hAnsi="黑体" w:eastAsia="黑体" w:cs="黑体"/>
          <w:b/>
          <w:bCs/>
          <w:highlight w:val="none"/>
          <w:shd w:val="clear" w:color="auto" w:fill="FFFFFF"/>
          <w:lang w:val="en-US" w:eastAsia="zh-CN"/>
        </w:rPr>
        <w:t>样图</w:t>
      </w:r>
    </w:p>
    <w:p>
      <w:pPr>
        <w:pStyle w:val="9"/>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157" w:beforeLines="50" w:beforeAutospacing="0" w:after="157" w:afterLines="50" w:afterAutospacing="0" w:line="30" w:lineRule="atLeast"/>
        <w:ind w:firstLine="602" w:firstLineChars="200"/>
        <w:jc w:val="both"/>
        <w:textAlignment w:val="auto"/>
        <w:outlineLvl w:val="1"/>
        <w:rPr>
          <w:rFonts w:hint="default" w:ascii="黑体" w:hAnsi="黑体" w:eastAsia="黑体" w:cs="黑体"/>
          <w:b/>
          <w:bCs/>
          <w:highlight w:val="none"/>
          <w:shd w:val="clear" w:color="auto" w:fill="FFFFFF"/>
          <w:lang w:val="en-US" w:eastAsia="zh-CN"/>
        </w:rPr>
      </w:pPr>
      <w:r>
        <w:rPr>
          <w:rFonts w:ascii="仿宋_GB2312" w:hAnsi="宋体" w:eastAsia="仿宋_GB2312"/>
          <w:b/>
          <w:sz w:val="30"/>
          <w:szCs w:val="30"/>
        </w:rPr>
        <w:drawing>
          <wp:inline distT="0" distB="0" distL="0" distR="0">
            <wp:extent cx="3983990" cy="2730500"/>
            <wp:effectExtent l="0" t="0" r="16510" b="12700"/>
            <wp:docPr id="1" name="图片 1" descr="C:\Users\yz\AppData\Local\Temp\WeChat Files\99b1ea99c573d091de977d9c85ce2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yz\AppData\Local\Temp\WeChat Files\99b1ea99c573d091de977d9c85ce2e9.jpg"/>
                    <pic:cNvPicPr>
                      <a:picLocks noChangeAspect="1" noChangeArrowheads="1"/>
                    </pic:cNvPicPr>
                  </pic:nvPicPr>
                  <pic:blipFill>
                    <a:blip r:embed="rId5" cstate="print"/>
                    <a:srcRect/>
                    <a:stretch>
                      <a:fillRect/>
                    </a:stretch>
                  </pic:blipFill>
                  <pic:spPr>
                    <a:xfrm>
                      <a:off x="0" y="0"/>
                      <a:ext cx="3983990" cy="2730500"/>
                    </a:xfrm>
                    <a:prstGeom prst="rect">
                      <a:avLst/>
                    </a:prstGeom>
                    <a:noFill/>
                    <a:ln w="9525">
                      <a:noFill/>
                      <a:miter lim="800000"/>
                      <a:headEnd/>
                      <a:tailEnd/>
                    </a:ln>
                  </pic:spPr>
                </pic:pic>
              </a:graphicData>
            </a:graphic>
          </wp:inline>
        </w:drawing>
      </w:r>
    </w:p>
    <w:p>
      <w:pPr>
        <w:pStyle w:val="9"/>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157" w:beforeLines="50" w:beforeAutospacing="0" w:after="157" w:afterLines="50" w:afterAutospacing="0" w:line="30" w:lineRule="atLeast"/>
        <w:jc w:val="both"/>
        <w:textAlignment w:val="auto"/>
        <w:outlineLvl w:val="1"/>
        <w:rPr>
          <w:rFonts w:hint="eastAsia" w:ascii="黑体" w:hAnsi="黑体" w:eastAsia="黑体"/>
          <w:sz w:val="30"/>
          <w:szCs w:val="30"/>
          <w:highlight w:val="none"/>
        </w:rPr>
      </w:pPr>
      <w:r>
        <w:rPr>
          <w:rFonts w:hint="eastAsia" w:ascii="黑体" w:hAnsi="黑体" w:eastAsia="黑体" w:cs="黑体"/>
          <w:b/>
          <w:bCs/>
          <w:highlight w:val="none"/>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contextualSpacing/>
        <w:jc w:val="center"/>
        <w:textAlignment w:val="auto"/>
        <w:rPr>
          <w:rFonts w:hint="eastAsia" w:ascii="黑体" w:hAnsi="黑体" w:eastAsia="黑体"/>
          <w:color w:val="auto"/>
          <w:sz w:val="30"/>
          <w:szCs w:val="30"/>
          <w:highlight w:val="none"/>
        </w:rPr>
      </w:pPr>
      <w:r>
        <w:rPr>
          <w:rFonts w:hint="eastAsia" w:ascii="黑体" w:hAnsi="黑体" w:eastAsia="黑体"/>
          <w:color w:val="auto"/>
          <w:sz w:val="30"/>
          <w:szCs w:val="30"/>
          <w:highlight w:val="none"/>
        </w:rPr>
        <w:t>第四章 响应文件格式</w:t>
      </w:r>
    </w:p>
    <w:p>
      <w:pPr>
        <w:pStyle w:val="13"/>
        <w:adjustRightInd w:val="0"/>
        <w:snapToGrid w:val="0"/>
        <w:spacing w:before="0" w:after="0" w:line="360" w:lineRule="auto"/>
        <w:ind w:firstLine="560" w:firstLineChars="200"/>
        <w:outlineLvl w:val="9"/>
        <w:rPr>
          <w:rFonts w:hint="eastAsia" w:ascii="仿宋" w:hAnsi="仿宋" w:eastAsia="仿宋" w:cs="仿宋"/>
          <w:color w:val="auto"/>
          <w:highlight w:val="none"/>
        </w:rPr>
      </w:pPr>
    </w:p>
    <w:p>
      <w:pPr>
        <w:pStyle w:val="2"/>
        <w:adjustRightInd w:val="0"/>
        <w:snapToGrid w:val="0"/>
        <w:spacing w:before="0" w:after="0" w:line="360" w:lineRule="auto"/>
        <w:ind w:firstLine="562"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附件一：</w:t>
      </w:r>
      <w:r>
        <w:rPr>
          <w:rFonts w:hint="eastAsia" w:ascii="仿宋" w:hAnsi="仿宋" w:eastAsia="仿宋" w:cs="仿宋"/>
          <w:color w:val="auto"/>
          <w:sz w:val="28"/>
          <w:szCs w:val="28"/>
          <w:highlight w:val="none"/>
          <w:lang w:eastAsia="zh-CN"/>
        </w:rPr>
        <w:t>法定代表人身份证明书</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法定代表人身份证明书</w:t>
      </w:r>
    </w:p>
    <w:p>
      <w:pPr>
        <w:topLinePunct/>
        <w:adjustRightInd w:val="0"/>
        <w:snapToGrid w:val="0"/>
        <w:spacing w:line="360" w:lineRule="auto"/>
        <w:ind w:firstLine="420" w:firstLineChars="200"/>
        <w:rPr>
          <w:rFonts w:ascii="宋体"/>
          <w:color w:val="auto"/>
          <w:szCs w:val="21"/>
          <w:highlight w:val="none"/>
        </w:rPr>
      </w:pP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单位名称：</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单位性质：</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成立时间：年月日</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经营期限：</w:t>
      </w:r>
      <w:r>
        <w:rPr>
          <w:rFonts w:hint="eastAsia" w:ascii="仿宋" w:hAnsi="仿宋" w:eastAsia="仿宋" w:cs="仿宋"/>
          <w:color w:val="auto"/>
          <w:sz w:val="24"/>
          <w:highlight w:val="none"/>
        </w:rPr>
        <w:tab/>
      </w:r>
    </w:p>
    <w:p>
      <w:pPr>
        <w:adjustRightInd w:val="0"/>
        <w:snapToGrid w:val="0"/>
        <w:spacing w:line="360" w:lineRule="auto"/>
        <w:ind w:firstLine="480" w:firstLineChars="200"/>
        <w:rPr>
          <w:rFonts w:hint="eastAsia" w:ascii="仿宋" w:hAnsi="仿宋" w:eastAsia="仿宋" w:cs="仿宋"/>
          <w:color w:val="auto"/>
          <w:sz w:val="24"/>
          <w:highlight w:val="none"/>
        </w:rPr>
      </w:pP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姓名：XXX  身份证号：XXXXXXXXX系（响应供应商名称）的法定代表人。</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特此证明。</w:t>
      </w:r>
    </w:p>
    <w:p>
      <w:pPr>
        <w:adjustRightInd w:val="0"/>
        <w:snapToGrid w:val="0"/>
        <w:spacing w:line="360" w:lineRule="auto"/>
        <w:ind w:firstLine="480" w:firstLineChars="200"/>
        <w:rPr>
          <w:rFonts w:hint="eastAsia" w:ascii="仿宋" w:hAnsi="仿宋" w:eastAsia="仿宋" w:cs="仿宋"/>
          <w:color w:val="auto"/>
          <w:sz w:val="24"/>
          <w:highlight w:val="none"/>
        </w:rPr>
      </w:pP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响应供应商：（公章）</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日期：   年    月    日</w:t>
      </w:r>
    </w:p>
    <w:p>
      <w:pPr>
        <w:tabs>
          <w:tab w:val="left" w:pos="720"/>
          <w:tab w:val="left" w:pos="900"/>
        </w:tabs>
        <w:topLinePunct/>
        <w:adjustRightInd w:val="0"/>
        <w:snapToGrid w:val="0"/>
        <w:spacing w:line="360" w:lineRule="auto"/>
        <w:rPr>
          <w:rFonts w:ascii="宋体"/>
          <w:b/>
          <w:bCs/>
          <w:color w:val="auto"/>
          <w:szCs w:val="21"/>
          <w:highlight w:val="none"/>
        </w:rPr>
      </w:pPr>
    </w:p>
    <w:p>
      <w:pPr>
        <w:pStyle w:val="2"/>
        <w:rPr>
          <w:highlight w:val="none"/>
        </w:rPr>
      </w:pPr>
    </w:p>
    <w:p>
      <w:pPr>
        <w:pStyle w:val="2"/>
        <w:adjustRightInd w:val="0"/>
        <w:snapToGrid w:val="0"/>
        <w:spacing w:before="0" w:after="0"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附件二：法定代表人</w:t>
      </w:r>
      <w:r>
        <w:rPr>
          <w:rFonts w:hint="eastAsia" w:ascii="仿宋" w:hAnsi="仿宋" w:eastAsia="仿宋" w:cs="仿宋"/>
          <w:color w:val="auto"/>
          <w:sz w:val="28"/>
          <w:szCs w:val="28"/>
          <w:highlight w:val="none"/>
        </w:rPr>
        <w:t>授权委托书</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法定代表人授权委托书</w:t>
      </w:r>
    </w:p>
    <w:p>
      <w:pPr>
        <w:pStyle w:val="6"/>
        <w:adjustRightInd w:val="0"/>
        <w:snapToGrid w:val="0"/>
        <w:spacing w:line="360" w:lineRule="auto"/>
        <w:ind w:firstLine="560" w:firstLineChars="200"/>
        <w:rPr>
          <w:rFonts w:hAnsi="宋体"/>
          <w:color w:val="auto"/>
          <w:highlight w:val="none"/>
        </w:rPr>
      </w:pP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授权委托书声明：本人（姓名）系（单位全称）的法定代表人，现代表本公司授权我单位（部门、职务、姓名）作为本公司的合法代理人，以（单位名称）的名义参加南通机场集团有限公司的XXXX项目投标。授权代表签署与本次招标相关的一切文件和处理与之有关的一切事务，本单位均予以承认。</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受托代理人无转委托权。</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本授权书于XX年XX月XX日签字或盖章后生效，特此声明。</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受托代理人（签字或盖章）：</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性别：      年龄：</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部门：      职务：    电话：</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投标单位（公章）：</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法定代表人（签字或盖章）：</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日期：年  月   日</w:t>
      </w:r>
    </w:p>
    <w:p>
      <w:pPr>
        <w:adjustRightInd w:val="0"/>
        <w:snapToGrid w:val="0"/>
        <w:spacing w:line="360" w:lineRule="auto"/>
        <w:ind w:firstLine="480" w:firstLineChars="200"/>
        <w:rPr>
          <w:rFonts w:hint="eastAsia" w:ascii="仿宋" w:hAnsi="仿宋" w:eastAsia="仿宋" w:cs="仿宋"/>
          <w:color w:val="auto"/>
          <w:sz w:val="24"/>
          <w:highlight w:val="none"/>
        </w:rPr>
      </w:pPr>
    </w:p>
    <w:p>
      <w:pPr>
        <w:adjustRightInd w:val="0"/>
        <w:snapToGrid w:val="0"/>
        <w:spacing w:line="360" w:lineRule="auto"/>
        <w:ind w:firstLine="480" w:firstLineChars="200"/>
        <w:rPr>
          <w:rFonts w:hint="eastAsia" w:ascii="仿宋" w:hAnsi="仿宋" w:eastAsia="仿宋" w:cs="仿宋"/>
          <w:color w:val="auto"/>
          <w:sz w:val="24"/>
          <w:highlight w:val="none"/>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0"/>
        <w:gridCol w:w="4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5" w:hRule="atLeast"/>
          <w:jc w:val="center"/>
        </w:trPr>
        <w:tc>
          <w:tcPr>
            <w:tcW w:w="4490" w:type="dxa"/>
            <w:noWrap w:val="0"/>
            <w:vAlign w:val="center"/>
          </w:tcPr>
          <w:p>
            <w:pPr>
              <w:pStyle w:val="6"/>
              <w:adjustRightInd w:val="0"/>
              <w:snapToGrid w:val="0"/>
              <w:spacing w:line="360" w:lineRule="auto"/>
              <w:ind w:firstLine="560" w:firstLineChars="200"/>
              <w:rPr>
                <w:rFonts w:hint="eastAsia" w:hAnsi="宋体" w:eastAsia="Calibri"/>
                <w:color w:val="auto"/>
                <w:kern w:val="2"/>
                <w:highlight w:val="none"/>
                <w:lang w:val="en-US" w:eastAsia="zh-CN"/>
              </w:rPr>
            </w:pPr>
            <w:r>
              <w:rPr>
                <w:rFonts w:hint="eastAsia" w:hAnsi="宋体"/>
                <w:color w:val="auto"/>
                <w:kern w:val="2"/>
                <w:highlight w:val="none"/>
                <w:lang w:val="en-US" w:eastAsia="zh-CN"/>
              </w:rPr>
              <w:t>法定代表人身份证粘贴处</w:t>
            </w:r>
          </w:p>
        </w:tc>
        <w:tc>
          <w:tcPr>
            <w:tcW w:w="4490" w:type="dxa"/>
            <w:noWrap w:val="0"/>
            <w:vAlign w:val="center"/>
          </w:tcPr>
          <w:p>
            <w:pPr>
              <w:pStyle w:val="6"/>
              <w:adjustRightInd w:val="0"/>
              <w:snapToGrid w:val="0"/>
              <w:spacing w:line="360" w:lineRule="auto"/>
              <w:ind w:firstLine="560" w:firstLineChars="200"/>
              <w:rPr>
                <w:rFonts w:hint="eastAsia" w:hAnsi="宋体" w:eastAsia="Calibri"/>
                <w:color w:val="auto"/>
                <w:kern w:val="2"/>
                <w:highlight w:val="none"/>
                <w:lang w:val="en-US" w:eastAsia="zh-CN"/>
              </w:rPr>
            </w:pPr>
            <w:r>
              <w:rPr>
                <w:rFonts w:hint="eastAsia" w:hAnsi="宋体"/>
                <w:color w:val="auto"/>
                <w:kern w:val="2"/>
                <w:highlight w:val="none"/>
                <w:lang w:val="en-US" w:eastAsia="zh-CN"/>
              </w:rPr>
              <w:t>受托代理人身份证粘贴处</w:t>
            </w:r>
          </w:p>
        </w:tc>
      </w:tr>
    </w:tbl>
    <w:p>
      <w:pPr>
        <w:pStyle w:val="2"/>
        <w:adjustRightInd w:val="0"/>
        <w:snapToGrid w:val="0"/>
        <w:spacing w:before="0" w:after="0" w:line="360" w:lineRule="auto"/>
        <w:rPr>
          <w:rFonts w:hint="eastAsia" w:ascii="仿宋" w:hAnsi="仿宋" w:eastAsia="仿宋" w:cs="仿宋"/>
          <w:color w:val="auto"/>
          <w:sz w:val="28"/>
          <w:szCs w:val="28"/>
          <w:highlight w:val="none"/>
          <w:lang w:eastAsia="zh-CN"/>
        </w:rPr>
      </w:pPr>
    </w:p>
    <w:p>
      <w:pPr>
        <w:pStyle w:val="2"/>
        <w:adjustRightInd w:val="0"/>
        <w:snapToGrid w:val="0"/>
        <w:spacing w:before="0" w:after="0" w:line="360" w:lineRule="auto"/>
        <w:rPr>
          <w:rFonts w:hint="eastAsia" w:ascii="仿宋" w:hAnsi="仿宋" w:eastAsia="仿宋" w:cs="仿宋"/>
          <w:color w:val="auto"/>
          <w:sz w:val="28"/>
          <w:szCs w:val="28"/>
          <w:highlight w:val="none"/>
          <w:lang w:eastAsia="zh-CN"/>
        </w:rPr>
      </w:pPr>
    </w:p>
    <w:p>
      <w:pPr>
        <w:pStyle w:val="2"/>
        <w:adjustRightInd w:val="0"/>
        <w:snapToGrid w:val="0"/>
        <w:spacing w:before="0" w:after="0"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附件三：</w:t>
      </w:r>
      <w:r>
        <w:rPr>
          <w:rFonts w:hint="eastAsia" w:ascii="仿宋" w:hAnsi="仿宋" w:eastAsia="仿宋" w:cs="仿宋"/>
          <w:color w:val="auto"/>
          <w:sz w:val="28"/>
          <w:szCs w:val="28"/>
          <w:highlight w:val="none"/>
        </w:rPr>
        <w:t>报价单</w:t>
      </w:r>
    </w:p>
    <w:p>
      <w:pPr>
        <w:pageBreakBefore w:val="0"/>
        <w:widowControl/>
        <w:kinsoku/>
        <w:wordWrap/>
        <w:overflowPunct/>
        <w:topLinePunct w:val="0"/>
        <w:bidi w:val="0"/>
        <w:adjustRightInd/>
        <w:snapToGrid/>
        <w:spacing w:after="200" w:line="240" w:lineRule="auto"/>
        <w:ind w:left="0" w:leftChars="0" w:right="0" w:rightChars="0"/>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t>报价单</w:t>
      </w:r>
    </w:p>
    <w:tbl>
      <w:tblPr>
        <w:tblStyle w:val="10"/>
        <w:tblW w:w="910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50"/>
        <w:gridCol w:w="1537"/>
        <w:gridCol w:w="1375"/>
        <w:gridCol w:w="750"/>
        <w:gridCol w:w="990"/>
        <w:gridCol w:w="1222"/>
        <w:gridCol w:w="923"/>
        <w:gridCol w:w="1029"/>
        <w:gridCol w:w="72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550" w:type="dxa"/>
            <w:tcBorders>
              <w:top w:val="double" w:color="auto" w:sz="4" w:space="0"/>
            </w:tcBorders>
            <w:noWrap w:val="0"/>
            <w:vAlign w:val="center"/>
          </w:tcPr>
          <w:p>
            <w:pPr>
              <w:pageBreakBefore w:val="0"/>
              <w:kinsoku/>
              <w:wordWrap/>
              <w:overflowPunct/>
              <w:topLinePunct w:val="0"/>
              <w:bidi w:val="0"/>
              <w:adjustRightInd/>
              <w:snapToGrid/>
              <w:spacing w:line="240" w:lineRule="auto"/>
              <w:ind w:left="0" w:leftChars="0" w:right="0" w:rightChars="0"/>
              <w:jc w:val="center"/>
              <w:rPr>
                <w:rFonts w:ascii="仿宋" w:hAnsi="仿宋" w:eastAsia="仿宋" w:cs="仿宋"/>
                <w:spacing w:val="20"/>
                <w:szCs w:val="21"/>
                <w:highlight w:val="none"/>
              </w:rPr>
            </w:pPr>
            <w:r>
              <w:rPr>
                <w:rFonts w:hint="eastAsia" w:ascii="仿宋" w:hAnsi="仿宋" w:eastAsia="仿宋" w:cs="仿宋"/>
                <w:spacing w:val="20"/>
                <w:szCs w:val="21"/>
                <w:highlight w:val="none"/>
              </w:rPr>
              <w:t>序号</w:t>
            </w:r>
          </w:p>
        </w:tc>
        <w:tc>
          <w:tcPr>
            <w:tcW w:w="1537" w:type="dxa"/>
            <w:tcBorders>
              <w:top w:val="double" w:color="auto" w:sz="4" w:space="0"/>
            </w:tcBorders>
            <w:noWrap w:val="0"/>
            <w:vAlign w:val="center"/>
          </w:tcPr>
          <w:p>
            <w:pPr>
              <w:pageBreakBefore w:val="0"/>
              <w:kinsoku/>
              <w:wordWrap/>
              <w:overflowPunct/>
              <w:topLinePunct w:val="0"/>
              <w:bidi w:val="0"/>
              <w:adjustRightInd/>
              <w:snapToGrid/>
              <w:spacing w:line="240" w:lineRule="auto"/>
              <w:ind w:left="0" w:leftChars="0" w:right="0" w:rightChars="0"/>
              <w:jc w:val="center"/>
              <w:rPr>
                <w:rFonts w:ascii="仿宋" w:hAnsi="仿宋" w:eastAsia="仿宋" w:cs="仿宋"/>
                <w:spacing w:val="20"/>
                <w:szCs w:val="21"/>
                <w:highlight w:val="none"/>
              </w:rPr>
            </w:pPr>
            <w:r>
              <w:rPr>
                <w:rFonts w:hint="eastAsia" w:ascii="仿宋" w:hAnsi="仿宋" w:eastAsia="仿宋" w:cs="仿宋"/>
                <w:spacing w:val="20"/>
                <w:szCs w:val="21"/>
                <w:highlight w:val="none"/>
              </w:rPr>
              <w:t>项目内容</w:t>
            </w:r>
          </w:p>
        </w:tc>
        <w:tc>
          <w:tcPr>
            <w:tcW w:w="1375" w:type="dxa"/>
            <w:tcBorders>
              <w:top w:val="double" w:color="auto" w:sz="4" w:space="0"/>
            </w:tcBorders>
            <w:noWrap w:val="0"/>
            <w:vAlign w:val="center"/>
          </w:tcPr>
          <w:p>
            <w:pPr>
              <w:pageBreakBefore w:val="0"/>
              <w:kinsoku/>
              <w:wordWrap/>
              <w:overflowPunct/>
              <w:topLinePunct w:val="0"/>
              <w:bidi w:val="0"/>
              <w:adjustRightInd/>
              <w:snapToGrid/>
              <w:spacing w:line="240" w:lineRule="auto"/>
              <w:ind w:left="0" w:leftChars="0" w:right="0" w:rightChars="0"/>
              <w:jc w:val="center"/>
              <w:rPr>
                <w:rFonts w:ascii="仿宋" w:hAnsi="仿宋" w:eastAsia="仿宋" w:cs="仿宋"/>
                <w:spacing w:val="20"/>
                <w:szCs w:val="21"/>
                <w:highlight w:val="none"/>
              </w:rPr>
            </w:pPr>
            <w:r>
              <w:rPr>
                <w:rFonts w:hint="eastAsia" w:ascii="仿宋" w:hAnsi="仿宋" w:eastAsia="仿宋" w:cs="仿宋"/>
                <w:spacing w:val="20"/>
                <w:szCs w:val="21"/>
                <w:highlight w:val="none"/>
              </w:rPr>
              <w:t>规格型号</w:t>
            </w:r>
          </w:p>
        </w:tc>
        <w:tc>
          <w:tcPr>
            <w:tcW w:w="750" w:type="dxa"/>
            <w:tcBorders>
              <w:top w:val="double" w:color="auto" w:sz="4" w:space="0"/>
            </w:tcBorders>
            <w:noWrap w:val="0"/>
            <w:vAlign w:val="center"/>
          </w:tcPr>
          <w:p>
            <w:pPr>
              <w:pageBreakBefore w:val="0"/>
              <w:kinsoku/>
              <w:wordWrap/>
              <w:overflowPunct/>
              <w:topLinePunct w:val="0"/>
              <w:bidi w:val="0"/>
              <w:adjustRightInd/>
              <w:snapToGrid/>
              <w:spacing w:line="240" w:lineRule="auto"/>
              <w:ind w:left="0" w:leftChars="0" w:right="0" w:rightChars="0"/>
              <w:jc w:val="center"/>
              <w:rPr>
                <w:rFonts w:ascii="仿宋" w:hAnsi="仿宋" w:eastAsia="仿宋" w:cs="仿宋"/>
                <w:spacing w:val="20"/>
                <w:szCs w:val="21"/>
                <w:highlight w:val="none"/>
              </w:rPr>
            </w:pPr>
            <w:r>
              <w:rPr>
                <w:rFonts w:hint="eastAsia" w:ascii="仿宋" w:hAnsi="仿宋" w:eastAsia="仿宋" w:cs="仿宋"/>
                <w:spacing w:val="20"/>
                <w:szCs w:val="21"/>
                <w:highlight w:val="none"/>
              </w:rPr>
              <w:t>品牌</w:t>
            </w:r>
          </w:p>
        </w:tc>
        <w:tc>
          <w:tcPr>
            <w:tcW w:w="990" w:type="dxa"/>
            <w:tcBorders>
              <w:top w:val="double" w:color="auto" w:sz="4" w:space="0"/>
            </w:tcBorders>
            <w:noWrap w:val="0"/>
            <w:vAlign w:val="center"/>
          </w:tcPr>
          <w:p>
            <w:pPr>
              <w:pageBreakBefore w:val="0"/>
              <w:kinsoku/>
              <w:wordWrap/>
              <w:overflowPunct/>
              <w:topLinePunct w:val="0"/>
              <w:bidi w:val="0"/>
              <w:adjustRightInd/>
              <w:snapToGrid/>
              <w:spacing w:line="240" w:lineRule="auto"/>
              <w:ind w:left="0" w:leftChars="0" w:right="0" w:rightChars="0"/>
              <w:jc w:val="center"/>
              <w:rPr>
                <w:rFonts w:ascii="仿宋" w:hAnsi="仿宋" w:eastAsia="仿宋" w:cs="仿宋"/>
                <w:spacing w:val="20"/>
                <w:szCs w:val="21"/>
                <w:highlight w:val="none"/>
              </w:rPr>
            </w:pPr>
            <w:r>
              <w:rPr>
                <w:rFonts w:hint="eastAsia" w:ascii="仿宋" w:hAnsi="仿宋" w:eastAsia="仿宋" w:cs="仿宋"/>
                <w:spacing w:val="20"/>
                <w:szCs w:val="21"/>
                <w:highlight w:val="none"/>
              </w:rPr>
              <w:t>单位</w:t>
            </w:r>
          </w:p>
        </w:tc>
        <w:tc>
          <w:tcPr>
            <w:tcW w:w="1222" w:type="dxa"/>
            <w:tcBorders>
              <w:top w:val="double" w:color="auto" w:sz="4" w:space="0"/>
            </w:tcBorders>
            <w:noWrap w:val="0"/>
            <w:vAlign w:val="center"/>
          </w:tcPr>
          <w:p>
            <w:pPr>
              <w:pageBreakBefore w:val="0"/>
              <w:kinsoku/>
              <w:wordWrap/>
              <w:overflowPunct/>
              <w:topLinePunct w:val="0"/>
              <w:bidi w:val="0"/>
              <w:adjustRightInd/>
              <w:snapToGrid/>
              <w:spacing w:line="240" w:lineRule="auto"/>
              <w:ind w:left="0" w:leftChars="0" w:right="0" w:rightChars="0"/>
              <w:jc w:val="center"/>
              <w:rPr>
                <w:rFonts w:ascii="仿宋" w:hAnsi="仿宋" w:eastAsia="仿宋" w:cs="仿宋"/>
                <w:spacing w:val="20"/>
                <w:szCs w:val="21"/>
                <w:highlight w:val="none"/>
              </w:rPr>
            </w:pPr>
            <w:r>
              <w:rPr>
                <w:rFonts w:hint="eastAsia" w:ascii="仿宋" w:hAnsi="仿宋" w:eastAsia="仿宋" w:cs="仿宋"/>
                <w:spacing w:val="20"/>
                <w:szCs w:val="21"/>
                <w:highlight w:val="none"/>
              </w:rPr>
              <w:t>数量</w:t>
            </w:r>
          </w:p>
        </w:tc>
        <w:tc>
          <w:tcPr>
            <w:tcW w:w="923" w:type="dxa"/>
            <w:tcBorders>
              <w:top w:val="double" w:color="auto" w:sz="4" w:space="0"/>
            </w:tcBorders>
            <w:noWrap w:val="0"/>
            <w:vAlign w:val="center"/>
          </w:tcPr>
          <w:p>
            <w:pPr>
              <w:pageBreakBefore w:val="0"/>
              <w:kinsoku/>
              <w:wordWrap/>
              <w:overflowPunct/>
              <w:topLinePunct w:val="0"/>
              <w:bidi w:val="0"/>
              <w:adjustRightInd/>
              <w:snapToGrid/>
              <w:spacing w:line="240" w:lineRule="auto"/>
              <w:ind w:left="0" w:leftChars="0" w:right="0" w:rightChars="0"/>
              <w:jc w:val="center"/>
              <w:rPr>
                <w:rFonts w:ascii="仿宋" w:hAnsi="仿宋" w:eastAsia="仿宋" w:cs="仿宋"/>
                <w:spacing w:val="20"/>
                <w:szCs w:val="21"/>
                <w:highlight w:val="none"/>
              </w:rPr>
            </w:pPr>
            <w:r>
              <w:rPr>
                <w:rFonts w:hint="eastAsia" w:ascii="仿宋" w:hAnsi="仿宋" w:eastAsia="仿宋" w:cs="仿宋"/>
                <w:spacing w:val="20"/>
                <w:szCs w:val="21"/>
                <w:highlight w:val="none"/>
              </w:rPr>
              <w:t>单价（元）</w:t>
            </w:r>
          </w:p>
        </w:tc>
        <w:tc>
          <w:tcPr>
            <w:tcW w:w="1029" w:type="dxa"/>
            <w:tcBorders>
              <w:top w:val="double" w:color="auto" w:sz="4" w:space="0"/>
            </w:tcBorders>
            <w:noWrap w:val="0"/>
            <w:vAlign w:val="center"/>
          </w:tcPr>
          <w:p>
            <w:pPr>
              <w:pageBreakBefore w:val="0"/>
              <w:kinsoku/>
              <w:wordWrap/>
              <w:overflowPunct/>
              <w:topLinePunct w:val="0"/>
              <w:bidi w:val="0"/>
              <w:adjustRightInd/>
              <w:snapToGrid/>
              <w:spacing w:line="240" w:lineRule="auto"/>
              <w:ind w:left="0" w:leftChars="0" w:right="0" w:rightChars="0"/>
              <w:jc w:val="center"/>
              <w:rPr>
                <w:rFonts w:ascii="仿宋" w:hAnsi="仿宋" w:eastAsia="仿宋" w:cs="仿宋"/>
                <w:highlight w:val="none"/>
              </w:rPr>
            </w:pPr>
            <w:r>
              <w:rPr>
                <w:rFonts w:hint="eastAsia" w:ascii="仿宋" w:hAnsi="仿宋" w:eastAsia="仿宋" w:cs="仿宋"/>
                <w:highlight w:val="none"/>
              </w:rPr>
              <w:t>金额</w:t>
            </w:r>
          </w:p>
        </w:tc>
        <w:tc>
          <w:tcPr>
            <w:tcW w:w="724" w:type="dxa"/>
            <w:tcBorders>
              <w:top w:val="double" w:color="auto" w:sz="4" w:space="0"/>
            </w:tcBorders>
            <w:noWrap w:val="0"/>
            <w:vAlign w:val="center"/>
          </w:tcPr>
          <w:p>
            <w:pPr>
              <w:pageBreakBefore w:val="0"/>
              <w:kinsoku/>
              <w:wordWrap/>
              <w:overflowPunct/>
              <w:topLinePunct w:val="0"/>
              <w:bidi w:val="0"/>
              <w:adjustRightInd/>
              <w:snapToGrid/>
              <w:spacing w:line="240" w:lineRule="auto"/>
              <w:ind w:left="0" w:leftChars="0" w:right="0" w:rightChars="0"/>
              <w:jc w:val="center"/>
              <w:rPr>
                <w:rFonts w:ascii="仿宋" w:hAnsi="仿宋" w:eastAsia="仿宋" w:cs="仿宋"/>
                <w:spacing w:val="20"/>
                <w:szCs w:val="21"/>
                <w:highlight w:val="none"/>
              </w:rPr>
            </w:pPr>
            <w:r>
              <w:rPr>
                <w:rFonts w:hint="eastAsia" w:ascii="仿宋" w:hAnsi="仿宋" w:eastAsia="仿宋" w:cs="仿宋"/>
                <w:spacing w:val="20"/>
                <w:szCs w:val="21"/>
                <w:highlight w:val="none"/>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550" w:type="dxa"/>
            <w:noWrap w:val="0"/>
            <w:vAlign w:val="center"/>
          </w:tcPr>
          <w:p>
            <w:pPr>
              <w:pageBreakBefore w:val="0"/>
              <w:kinsoku/>
              <w:wordWrap/>
              <w:overflowPunct/>
              <w:topLinePunct w:val="0"/>
              <w:bidi w:val="0"/>
              <w:adjustRightInd/>
              <w:snapToGrid/>
              <w:spacing w:line="240" w:lineRule="auto"/>
              <w:ind w:left="0" w:leftChars="0" w:right="0" w:rightChars="0"/>
              <w:jc w:val="center"/>
              <w:rPr>
                <w:rFonts w:ascii="仿宋" w:hAnsi="仿宋" w:eastAsia="仿宋" w:cs="仿宋"/>
                <w:spacing w:val="20"/>
                <w:szCs w:val="21"/>
                <w:highlight w:val="none"/>
              </w:rPr>
            </w:pPr>
            <w:r>
              <w:rPr>
                <w:rFonts w:hint="eastAsia" w:ascii="仿宋" w:hAnsi="仿宋" w:eastAsia="仿宋" w:cs="仿宋"/>
                <w:spacing w:val="20"/>
                <w:szCs w:val="21"/>
                <w:highlight w:val="none"/>
                <w:lang w:val="en-US" w:eastAsia="zh-CN"/>
              </w:rPr>
              <w:t>1</w:t>
            </w:r>
          </w:p>
        </w:tc>
        <w:tc>
          <w:tcPr>
            <w:tcW w:w="1537" w:type="dxa"/>
            <w:noWrap w:val="0"/>
            <w:vAlign w:val="center"/>
          </w:tcPr>
          <w:p>
            <w:pPr>
              <w:pageBreakBefore w:val="0"/>
              <w:kinsoku/>
              <w:wordWrap/>
              <w:overflowPunct/>
              <w:topLinePunct w:val="0"/>
              <w:bidi w:val="0"/>
              <w:adjustRightInd/>
              <w:snapToGrid/>
              <w:spacing w:line="240" w:lineRule="auto"/>
              <w:ind w:left="0" w:leftChars="0" w:right="0" w:rightChars="0"/>
              <w:jc w:val="left"/>
              <w:rPr>
                <w:rFonts w:hint="default" w:ascii="仿宋" w:hAnsi="仿宋" w:eastAsia="仿宋" w:cs="仿宋"/>
                <w:spacing w:val="20"/>
                <w:szCs w:val="21"/>
                <w:highlight w:val="none"/>
                <w:lang w:val="en-US" w:eastAsia="zh-CN"/>
              </w:rPr>
            </w:pPr>
          </w:p>
        </w:tc>
        <w:tc>
          <w:tcPr>
            <w:tcW w:w="1375" w:type="dxa"/>
            <w:noWrap w:val="0"/>
            <w:vAlign w:val="center"/>
          </w:tcPr>
          <w:p>
            <w:pPr>
              <w:pageBreakBefore w:val="0"/>
              <w:kinsoku/>
              <w:wordWrap/>
              <w:overflowPunct/>
              <w:topLinePunct w:val="0"/>
              <w:bidi w:val="0"/>
              <w:adjustRightInd/>
              <w:snapToGrid/>
              <w:spacing w:line="240" w:lineRule="auto"/>
              <w:ind w:left="0" w:leftChars="0" w:right="0" w:rightChars="0"/>
              <w:rPr>
                <w:rFonts w:ascii="仿宋" w:hAnsi="仿宋" w:eastAsia="仿宋" w:cs="仿宋"/>
                <w:spacing w:val="20"/>
                <w:szCs w:val="21"/>
                <w:highlight w:val="none"/>
              </w:rPr>
            </w:pPr>
          </w:p>
        </w:tc>
        <w:tc>
          <w:tcPr>
            <w:tcW w:w="750" w:type="dxa"/>
            <w:noWrap w:val="0"/>
            <w:vAlign w:val="center"/>
          </w:tcPr>
          <w:p>
            <w:pPr>
              <w:pageBreakBefore w:val="0"/>
              <w:kinsoku/>
              <w:wordWrap/>
              <w:overflowPunct/>
              <w:topLinePunct w:val="0"/>
              <w:bidi w:val="0"/>
              <w:adjustRightInd/>
              <w:snapToGrid/>
              <w:spacing w:line="240" w:lineRule="auto"/>
              <w:ind w:left="0" w:leftChars="0" w:right="0" w:rightChars="0"/>
              <w:rPr>
                <w:rFonts w:ascii="仿宋" w:hAnsi="仿宋" w:eastAsia="仿宋" w:cs="仿宋"/>
                <w:spacing w:val="20"/>
                <w:szCs w:val="21"/>
                <w:highlight w:val="none"/>
              </w:rPr>
            </w:pPr>
          </w:p>
        </w:tc>
        <w:tc>
          <w:tcPr>
            <w:tcW w:w="990" w:type="dxa"/>
            <w:noWrap w:val="0"/>
            <w:vAlign w:val="center"/>
          </w:tcPr>
          <w:p>
            <w:pPr>
              <w:pageBreakBefore w:val="0"/>
              <w:kinsoku/>
              <w:wordWrap/>
              <w:overflowPunct/>
              <w:topLinePunct w:val="0"/>
              <w:bidi w:val="0"/>
              <w:adjustRightInd/>
              <w:snapToGrid/>
              <w:spacing w:line="240" w:lineRule="auto"/>
              <w:ind w:left="0" w:leftChars="0" w:right="0" w:rightChars="0"/>
              <w:jc w:val="center"/>
              <w:rPr>
                <w:rFonts w:ascii="仿宋" w:hAnsi="仿宋" w:eastAsia="仿宋" w:cs="仿宋"/>
                <w:spacing w:val="20"/>
                <w:szCs w:val="21"/>
                <w:highlight w:val="none"/>
              </w:rPr>
            </w:pPr>
          </w:p>
        </w:tc>
        <w:tc>
          <w:tcPr>
            <w:tcW w:w="1222" w:type="dxa"/>
            <w:noWrap w:val="0"/>
            <w:vAlign w:val="center"/>
          </w:tcPr>
          <w:p>
            <w:pPr>
              <w:pageBreakBefore w:val="0"/>
              <w:kinsoku/>
              <w:wordWrap/>
              <w:overflowPunct/>
              <w:topLinePunct w:val="0"/>
              <w:bidi w:val="0"/>
              <w:adjustRightInd/>
              <w:snapToGrid/>
              <w:spacing w:line="240" w:lineRule="auto"/>
              <w:ind w:left="0" w:leftChars="0" w:right="0" w:rightChars="0"/>
              <w:rPr>
                <w:rFonts w:hint="default" w:ascii="仿宋" w:hAnsi="仿宋" w:eastAsia="仿宋" w:cs="仿宋"/>
                <w:spacing w:val="20"/>
                <w:szCs w:val="21"/>
                <w:highlight w:val="none"/>
                <w:lang w:val="en-US" w:eastAsia="zh-CN"/>
              </w:rPr>
            </w:pPr>
          </w:p>
        </w:tc>
        <w:tc>
          <w:tcPr>
            <w:tcW w:w="923" w:type="dxa"/>
            <w:noWrap w:val="0"/>
            <w:vAlign w:val="center"/>
          </w:tcPr>
          <w:p>
            <w:pPr>
              <w:pageBreakBefore w:val="0"/>
              <w:kinsoku/>
              <w:wordWrap/>
              <w:overflowPunct/>
              <w:topLinePunct w:val="0"/>
              <w:bidi w:val="0"/>
              <w:adjustRightInd/>
              <w:snapToGrid/>
              <w:spacing w:line="240" w:lineRule="auto"/>
              <w:ind w:left="0" w:leftChars="0" w:right="0" w:rightChars="0"/>
              <w:rPr>
                <w:rFonts w:ascii="仿宋" w:hAnsi="仿宋" w:eastAsia="仿宋" w:cs="仿宋"/>
                <w:spacing w:val="20"/>
                <w:szCs w:val="21"/>
                <w:highlight w:val="none"/>
              </w:rPr>
            </w:pPr>
          </w:p>
        </w:tc>
        <w:tc>
          <w:tcPr>
            <w:tcW w:w="1029" w:type="dxa"/>
            <w:noWrap w:val="0"/>
            <w:vAlign w:val="center"/>
          </w:tcPr>
          <w:p>
            <w:pPr>
              <w:pageBreakBefore w:val="0"/>
              <w:kinsoku/>
              <w:wordWrap/>
              <w:overflowPunct/>
              <w:topLinePunct w:val="0"/>
              <w:bidi w:val="0"/>
              <w:adjustRightInd/>
              <w:snapToGrid/>
              <w:spacing w:line="240" w:lineRule="auto"/>
              <w:ind w:left="0" w:leftChars="0" w:right="0" w:rightChars="0"/>
              <w:rPr>
                <w:rFonts w:ascii="仿宋" w:hAnsi="仿宋" w:eastAsia="仿宋" w:cs="仿宋"/>
                <w:highlight w:val="none"/>
              </w:rPr>
            </w:pPr>
          </w:p>
        </w:tc>
        <w:tc>
          <w:tcPr>
            <w:tcW w:w="724" w:type="dxa"/>
            <w:noWrap w:val="0"/>
            <w:vAlign w:val="center"/>
          </w:tcPr>
          <w:p>
            <w:pPr>
              <w:pageBreakBefore w:val="0"/>
              <w:kinsoku/>
              <w:wordWrap/>
              <w:overflowPunct/>
              <w:topLinePunct w:val="0"/>
              <w:bidi w:val="0"/>
              <w:adjustRightInd/>
              <w:snapToGrid/>
              <w:spacing w:line="240" w:lineRule="auto"/>
              <w:ind w:left="0" w:leftChars="0" w:right="0" w:rightChars="0"/>
              <w:rPr>
                <w:rFonts w:ascii="仿宋" w:hAnsi="仿宋" w:eastAsia="仿宋" w:cs="仿宋"/>
                <w:spacing w:val="2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550" w:type="dxa"/>
            <w:noWrap w:val="0"/>
            <w:vAlign w:val="center"/>
          </w:tcPr>
          <w:p>
            <w:pPr>
              <w:pageBreakBefore w:val="0"/>
              <w:kinsoku/>
              <w:wordWrap/>
              <w:overflowPunct/>
              <w:topLinePunct w:val="0"/>
              <w:bidi w:val="0"/>
              <w:adjustRightInd/>
              <w:snapToGrid/>
              <w:spacing w:line="240" w:lineRule="auto"/>
              <w:ind w:left="0" w:leftChars="0" w:right="0" w:rightChars="0"/>
              <w:jc w:val="center"/>
              <w:rPr>
                <w:rFonts w:ascii="仿宋" w:hAnsi="仿宋" w:eastAsia="仿宋" w:cs="仿宋"/>
                <w:spacing w:val="20"/>
                <w:szCs w:val="21"/>
                <w:highlight w:val="none"/>
              </w:rPr>
            </w:pPr>
            <w:r>
              <w:rPr>
                <w:rFonts w:hint="eastAsia" w:ascii="仿宋" w:hAnsi="仿宋" w:eastAsia="仿宋" w:cs="仿宋"/>
                <w:spacing w:val="20"/>
                <w:szCs w:val="21"/>
                <w:highlight w:val="none"/>
                <w:lang w:val="en-US" w:eastAsia="zh-CN"/>
              </w:rPr>
              <w:t>2</w:t>
            </w:r>
          </w:p>
        </w:tc>
        <w:tc>
          <w:tcPr>
            <w:tcW w:w="1537" w:type="dxa"/>
            <w:noWrap w:val="0"/>
            <w:vAlign w:val="center"/>
          </w:tcPr>
          <w:p>
            <w:pPr>
              <w:pageBreakBefore w:val="0"/>
              <w:kinsoku/>
              <w:wordWrap/>
              <w:overflowPunct/>
              <w:topLinePunct w:val="0"/>
              <w:bidi w:val="0"/>
              <w:adjustRightInd/>
              <w:snapToGrid/>
              <w:spacing w:line="240" w:lineRule="auto"/>
              <w:ind w:left="0" w:leftChars="0" w:right="0" w:rightChars="0"/>
              <w:jc w:val="left"/>
              <w:rPr>
                <w:rFonts w:hint="default" w:ascii="仿宋" w:hAnsi="仿宋" w:eastAsia="仿宋" w:cs="仿宋"/>
                <w:spacing w:val="20"/>
                <w:szCs w:val="21"/>
                <w:highlight w:val="none"/>
                <w:lang w:val="en-US" w:eastAsia="zh-CN"/>
              </w:rPr>
            </w:pPr>
          </w:p>
        </w:tc>
        <w:tc>
          <w:tcPr>
            <w:tcW w:w="1375" w:type="dxa"/>
            <w:noWrap w:val="0"/>
            <w:vAlign w:val="center"/>
          </w:tcPr>
          <w:p>
            <w:pPr>
              <w:pageBreakBefore w:val="0"/>
              <w:kinsoku/>
              <w:wordWrap/>
              <w:overflowPunct/>
              <w:topLinePunct w:val="0"/>
              <w:bidi w:val="0"/>
              <w:adjustRightInd/>
              <w:snapToGrid/>
              <w:spacing w:line="240" w:lineRule="auto"/>
              <w:ind w:left="0" w:leftChars="0" w:right="0" w:rightChars="0"/>
              <w:rPr>
                <w:rFonts w:ascii="仿宋" w:hAnsi="仿宋" w:eastAsia="仿宋" w:cs="仿宋"/>
                <w:spacing w:val="20"/>
                <w:szCs w:val="21"/>
                <w:highlight w:val="none"/>
              </w:rPr>
            </w:pPr>
          </w:p>
        </w:tc>
        <w:tc>
          <w:tcPr>
            <w:tcW w:w="750" w:type="dxa"/>
            <w:noWrap w:val="0"/>
            <w:vAlign w:val="center"/>
          </w:tcPr>
          <w:p>
            <w:pPr>
              <w:pageBreakBefore w:val="0"/>
              <w:kinsoku/>
              <w:wordWrap/>
              <w:overflowPunct/>
              <w:topLinePunct w:val="0"/>
              <w:bidi w:val="0"/>
              <w:adjustRightInd/>
              <w:snapToGrid/>
              <w:spacing w:line="240" w:lineRule="auto"/>
              <w:ind w:left="0" w:leftChars="0" w:right="0" w:rightChars="0"/>
              <w:rPr>
                <w:rFonts w:ascii="仿宋" w:hAnsi="仿宋" w:eastAsia="仿宋" w:cs="仿宋"/>
                <w:spacing w:val="20"/>
                <w:szCs w:val="21"/>
                <w:highlight w:val="none"/>
              </w:rPr>
            </w:pPr>
          </w:p>
        </w:tc>
        <w:tc>
          <w:tcPr>
            <w:tcW w:w="990" w:type="dxa"/>
            <w:noWrap w:val="0"/>
            <w:vAlign w:val="center"/>
          </w:tcPr>
          <w:p>
            <w:pPr>
              <w:pageBreakBefore w:val="0"/>
              <w:kinsoku/>
              <w:wordWrap/>
              <w:overflowPunct/>
              <w:topLinePunct w:val="0"/>
              <w:bidi w:val="0"/>
              <w:adjustRightInd/>
              <w:snapToGrid/>
              <w:spacing w:line="240" w:lineRule="auto"/>
              <w:ind w:left="0" w:leftChars="0" w:right="0" w:rightChars="0"/>
              <w:jc w:val="center"/>
              <w:rPr>
                <w:rFonts w:ascii="仿宋" w:hAnsi="仿宋" w:eastAsia="仿宋" w:cs="仿宋"/>
                <w:spacing w:val="20"/>
                <w:szCs w:val="21"/>
                <w:highlight w:val="none"/>
              </w:rPr>
            </w:pPr>
          </w:p>
        </w:tc>
        <w:tc>
          <w:tcPr>
            <w:tcW w:w="1222" w:type="dxa"/>
            <w:noWrap w:val="0"/>
            <w:vAlign w:val="center"/>
          </w:tcPr>
          <w:p>
            <w:pPr>
              <w:pageBreakBefore w:val="0"/>
              <w:kinsoku/>
              <w:wordWrap/>
              <w:overflowPunct/>
              <w:topLinePunct w:val="0"/>
              <w:bidi w:val="0"/>
              <w:adjustRightInd/>
              <w:snapToGrid/>
              <w:spacing w:line="240" w:lineRule="auto"/>
              <w:ind w:left="0" w:leftChars="0" w:right="0" w:rightChars="0"/>
              <w:rPr>
                <w:rFonts w:hint="default" w:ascii="仿宋" w:hAnsi="仿宋" w:eastAsia="仿宋" w:cs="仿宋"/>
                <w:spacing w:val="20"/>
                <w:szCs w:val="21"/>
                <w:highlight w:val="none"/>
                <w:lang w:val="en-US" w:eastAsia="zh-CN"/>
              </w:rPr>
            </w:pPr>
          </w:p>
        </w:tc>
        <w:tc>
          <w:tcPr>
            <w:tcW w:w="923" w:type="dxa"/>
            <w:noWrap w:val="0"/>
            <w:vAlign w:val="center"/>
          </w:tcPr>
          <w:p>
            <w:pPr>
              <w:pageBreakBefore w:val="0"/>
              <w:kinsoku/>
              <w:wordWrap/>
              <w:overflowPunct/>
              <w:topLinePunct w:val="0"/>
              <w:bidi w:val="0"/>
              <w:adjustRightInd/>
              <w:snapToGrid/>
              <w:spacing w:line="240" w:lineRule="auto"/>
              <w:ind w:left="0" w:leftChars="0" w:right="0" w:rightChars="0"/>
              <w:rPr>
                <w:rFonts w:ascii="仿宋" w:hAnsi="仿宋" w:eastAsia="仿宋" w:cs="仿宋"/>
                <w:spacing w:val="20"/>
                <w:szCs w:val="21"/>
                <w:highlight w:val="none"/>
              </w:rPr>
            </w:pPr>
          </w:p>
        </w:tc>
        <w:tc>
          <w:tcPr>
            <w:tcW w:w="1029" w:type="dxa"/>
            <w:noWrap w:val="0"/>
            <w:vAlign w:val="center"/>
          </w:tcPr>
          <w:p>
            <w:pPr>
              <w:pageBreakBefore w:val="0"/>
              <w:kinsoku/>
              <w:wordWrap/>
              <w:overflowPunct/>
              <w:topLinePunct w:val="0"/>
              <w:bidi w:val="0"/>
              <w:adjustRightInd/>
              <w:snapToGrid/>
              <w:spacing w:line="240" w:lineRule="auto"/>
              <w:ind w:left="0" w:leftChars="0" w:right="0" w:rightChars="0"/>
              <w:rPr>
                <w:rFonts w:ascii="仿宋" w:hAnsi="仿宋" w:eastAsia="仿宋" w:cs="仿宋"/>
                <w:highlight w:val="none"/>
              </w:rPr>
            </w:pPr>
          </w:p>
        </w:tc>
        <w:tc>
          <w:tcPr>
            <w:tcW w:w="724" w:type="dxa"/>
            <w:noWrap w:val="0"/>
            <w:vAlign w:val="center"/>
          </w:tcPr>
          <w:p>
            <w:pPr>
              <w:pageBreakBefore w:val="0"/>
              <w:kinsoku/>
              <w:wordWrap/>
              <w:overflowPunct/>
              <w:topLinePunct w:val="0"/>
              <w:bidi w:val="0"/>
              <w:adjustRightInd/>
              <w:snapToGrid/>
              <w:spacing w:line="240" w:lineRule="auto"/>
              <w:ind w:left="0" w:leftChars="0" w:right="0" w:rightChars="0"/>
              <w:rPr>
                <w:rFonts w:ascii="仿宋" w:hAnsi="仿宋" w:eastAsia="仿宋" w:cs="仿宋"/>
                <w:spacing w:val="2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550" w:type="dxa"/>
            <w:noWrap w:val="0"/>
            <w:vAlign w:val="center"/>
          </w:tcPr>
          <w:p>
            <w:pPr>
              <w:pageBreakBefore w:val="0"/>
              <w:kinsoku/>
              <w:wordWrap/>
              <w:overflowPunct/>
              <w:topLinePunct w:val="0"/>
              <w:bidi w:val="0"/>
              <w:adjustRightInd/>
              <w:snapToGrid/>
              <w:spacing w:line="240" w:lineRule="auto"/>
              <w:ind w:left="0" w:leftChars="0" w:right="0" w:rightChars="0"/>
              <w:jc w:val="center"/>
              <w:rPr>
                <w:rFonts w:hint="default" w:ascii="仿宋" w:hAnsi="仿宋" w:eastAsia="仿宋" w:cs="仿宋"/>
                <w:spacing w:val="20"/>
                <w:szCs w:val="21"/>
                <w:highlight w:val="none"/>
                <w:lang w:val="en-US" w:eastAsia="zh-CN"/>
              </w:rPr>
            </w:pPr>
            <w:r>
              <w:rPr>
                <w:rFonts w:hint="eastAsia" w:ascii="仿宋" w:hAnsi="仿宋" w:eastAsia="仿宋" w:cs="仿宋"/>
                <w:spacing w:val="20"/>
                <w:szCs w:val="21"/>
                <w:highlight w:val="none"/>
                <w:lang w:val="en-US" w:eastAsia="zh-CN"/>
              </w:rPr>
              <w:t>3</w:t>
            </w:r>
          </w:p>
        </w:tc>
        <w:tc>
          <w:tcPr>
            <w:tcW w:w="1537" w:type="dxa"/>
            <w:noWrap w:val="0"/>
            <w:vAlign w:val="center"/>
          </w:tcPr>
          <w:p>
            <w:pPr>
              <w:pageBreakBefore w:val="0"/>
              <w:kinsoku/>
              <w:wordWrap/>
              <w:overflowPunct/>
              <w:topLinePunct w:val="0"/>
              <w:bidi w:val="0"/>
              <w:adjustRightInd/>
              <w:snapToGrid/>
              <w:spacing w:line="240" w:lineRule="auto"/>
              <w:ind w:left="0" w:leftChars="0" w:right="0" w:rightChars="0"/>
              <w:jc w:val="left"/>
              <w:rPr>
                <w:rFonts w:ascii="仿宋" w:hAnsi="仿宋" w:eastAsia="仿宋" w:cs="仿宋"/>
                <w:spacing w:val="20"/>
                <w:szCs w:val="21"/>
                <w:highlight w:val="none"/>
              </w:rPr>
            </w:pPr>
          </w:p>
        </w:tc>
        <w:tc>
          <w:tcPr>
            <w:tcW w:w="1375" w:type="dxa"/>
            <w:noWrap w:val="0"/>
            <w:vAlign w:val="center"/>
          </w:tcPr>
          <w:p>
            <w:pPr>
              <w:pageBreakBefore w:val="0"/>
              <w:kinsoku/>
              <w:wordWrap/>
              <w:overflowPunct/>
              <w:topLinePunct w:val="0"/>
              <w:bidi w:val="0"/>
              <w:adjustRightInd/>
              <w:snapToGrid/>
              <w:spacing w:line="240" w:lineRule="auto"/>
              <w:ind w:left="0" w:leftChars="0" w:right="0" w:rightChars="0"/>
              <w:rPr>
                <w:rFonts w:ascii="仿宋" w:hAnsi="仿宋" w:eastAsia="仿宋" w:cs="仿宋"/>
                <w:spacing w:val="20"/>
                <w:szCs w:val="21"/>
                <w:highlight w:val="none"/>
              </w:rPr>
            </w:pPr>
          </w:p>
        </w:tc>
        <w:tc>
          <w:tcPr>
            <w:tcW w:w="750" w:type="dxa"/>
            <w:noWrap w:val="0"/>
            <w:vAlign w:val="center"/>
          </w:tcPr>
          <w:p>
            <w:pPr>
              <w:pageBreakBefore w:val="0"/>
              <w:kinsoku/>
              <w:wordWrap/>
              <w:overflowPunct/>
              <w:topLinePunct w:val="0"/>
              <w:bidi w:val="0"/>
              <w:adjustRightInd/>
              <w:snapToGrid/>
              <w:spacing w:line="240" w:lineRule="auto"/>
              <w:ind w:left="0" w:leftChars="0" w:right="0" w:rightChars="0"/>
              <w:rPr>
                <w:rFonts w:ascii="仿宋" w:hAnsi="仿宋" w:eastAsia="仿宋" w:cs="仿宋"/>
                <w:spacing w:val="20"/>
                <w:szCs w:val="21"/>
                <w:highlight w:val="none"/>
              </w:rPr>
            </w:pPr>
          </w:p>
        </w:tc>
        <w:tc>
          <w:tcPr>
            <w:tcW w:w="990" w:type="dxa"/>
            <w:noWrap w:val="0"/>
            <w:vAlign w:val="center"/>
          </w:tcPr>
          <w:p>
            <w:pPr>
              <w:pageBreakBefore w:val="0"/>
              <w:kinsoku/>
              <w:wordWrap/>
              <w:overflowPunct/>
              <w:topLinePunct w:val="0"/>
              <w:bidi w:val="0"/>
              <w:adjustRightInd/>
              <w:snapToGrid/>
              <w:spacing w:line="240" w:lineRule="auto"/>
              <w:ind w:left="0" w:leftChars="0" w:right="0" w:rightChars="0"/>
              <w:rPr>
                <w:rFonts w:ascii="仿宋" w:hAnsi="仿宋" w:eastAsia="仿宋" w:cs="仿宋"/>
                <w:spacing w:val="20"/>
                <w:szCs w:val="21"/>
                <w:highlight w:val="none"/>
              </w:rPr>
            </w:pPr>
          </w:p>
        </w:tc>
        <w:tc>
          <w:tcPr>
            <w:tcW w:w="1222" w:type="dxa"/>
            <w:noWrap w:val="0"/>
            <w:vAlign w:val="center"/>
          </w:tcPr>
          <w:p>
            <w:pPr>
              <w:pageBreakBefore w:val="0"/>
              <w:kinsoku/>
              <w:wordWrap/>
              <w:overflowPunct/>
              <w:topLinePunct w:val="0"/>
              <w:bidi w:val="0"/>
              <w:adjustRightInd/>
              <w:snapToGrid/>
              <w:spacing w:line="240" w:lineRule="auto"/>
              <w:ind w:left="0" w:leftChars="0" w:right="0" w:rightChars="0"/>
              <w:rPr>
                <w:rFonts w:ascii="仿宋" w:hAnsi="仿宋" w:eastAsia="仿宋" w:cs="仿宋"/>
                <w:spacing w:val="20"/>
                <w:szCs w:val="21"/>
                <w:highlight w:val="none"/>
              </w:rPr>
            </w:pPr>
          </w:p>
        </w:tc>
        <w:tc>
          <w:tcPr>
            <w:tcW w:w="923" w:type="dxa"/>
            <w:noWrap w:val="0"/>
            <w:vAlign w:val="center"/>
          </w:tcPr>
          <w:p>
            <w:pPr>
              <w:pageBreakBefore w:val="0"/>
              <w:kinsoku/>
              <w:wordWrap/>
              <w:overflowPunct/>
              <w:topLinePunct w:val="0"/>
              <w:bidi w:val="0"/>
              <w:adjustRightInd/>
              <w:snapToGrid/>
              <w:spacing w:line="240" w:lineRule="auto"/>
              <w:ind w:left="0" w:leftChars="0" w:right="0" w:rightChars="0"/>
              <w:rPr>
                <w:rFonts w:ascii="仿宋" w:hAnsi="仿宋" w:eastAsia="仿宋" w:cs="仿宋"/>
                <w:spacing w:val="20"/>
                <w:szCs w:val="21"/>
                <w:highlight w:val="none"/>
              </w:rPr>
            </w:pPr>
          </w:p>
        </w:tc>
        <w:tc>
          <w:tcPr>
            <w:tcW w:w="1029" w:type="dxa"/>
            <w:noWrap w:val="0"/>
            <w:vAlign w:val="center"/>
          </w:tcPr>
          <w:p>
            <w:pPr>
              <w:pageBreakBefore w:val="0"/>
              <w:kinsoku/>
              <w:wordWrap/>
              <w:overflowPunct/>
              <w:topLinePunct w:val="0"/>
              <w:bidi w:val="0"/>
              <w:adjustRightInd/>
              <w:snapToGrid/>
              <w:spacing w:line="240" w:lineRule="auto"/>
              <w:ind w:left="0" w:leftChars="0" w:right="0" w:rightChars="0"/>
              <w:rPr>
                <w:rFonts w:ascii="仿宋" w:hAnsi="仿宋" w:eastAsia="仿宋" w:cs="仿宋"/>
                <w:highlight w:val="none"/>
              </w:rPr>
            </w:pPr>
          </w:p>
        </w:tc>
        <w:tc>
          <w:tcPr>
            <w:tcW w:w="724" w:type="dxa"/>
            <w:noWrap w:val="0"/>
            <w:vAlign w:val="center"/>
          </w:tcPr>
          <w:p>
            <w:pPr>
              <w:pageBreakBefore w:val="0"/>
              <w:kinsoku/>
              <w:wordWrap/>
              <w:overflowPunct/>
              <w:topLinePunct w:val="0"/>
              <w:bidi w:val="0"/>
              <w:adjustRightInd/>
              <w:snapToGrid/>
              <w:spacing w:line="240" w:lineRule="auto"/>
              <w:ind w:left="0" w:leftChars="0" w:right="0" w:rightChars="0"/>
              <w:rPr>
                <w:rFonts w:ascii="仿宋" w:hAnsi="仿宋" w:eastAsia="仿宋" w:cs="仿宋"/>
                <w:spacing w:val="2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7347" w:type="dxa"/>
            <w:gridSpan w:val="7"/>
            <w:noWrap w:val="0"/>
            <w:vAlign w:val="center"/>
          </w:tcPr>
          <w:p>
            <w:pPr>
              <w:pageBreakBefore w:val="0"/>
              <w:kinsoku/>
              <w:wordWrap/>
              <w:overflowPunct/>
              <w:topLinePunct w:val="0"/>
              <w:bidi w:val="0"/>
              <w:adjustRightInd/>
              <w:snapToGrid/>
              <w:spacing w:line="240" w:lineRule="auto"/>
              <w:ind w:left="0" w:leftChars="0" w:right="0" w:rightChars="0"/>
              <w:jc w:val="left"/>
              <w:rPr>
                <w:rFonts w:ascii="仿宋" w:hAnsi="仿宋" w:eastAsia="仿宋" w:cs="仿宋"/>
                <w:spacing w:val="20"/>
                <w:szCs w:val="21"/>
                <w:highlight w:val="none"/>
              </w:rPr>
            </w:pPr>
            <w:r>
              <w:rPr>
                <w:rFonts w:hint="eastAsia" w:ascii="仿宋" w:hAnsi="仿宋" w:eastAsia="仿宋" w:cs="仿宋"/>
                <w:spacing w:val="20"/>
                <w:szCs w:val="21"/>
                <w:highlight w:val="none"/>
                <w:lang w:eastAsia="zh-CN"/>
              </w:rPr>
              <w:t>增值税税率</w:t>
            </w:r>
            <w:r>
              <w:rPr>
                <w:rFonts w:ascii="仿宋" w:hAnsi="仿宋" w:eastAsia="仿宋" w:cs="仿宋"/>
                <w:spacing w:val="20"/>
                <w:szCs w:val="21"/>
                <w:highlight w:val="none"/>
                <w:u w:val="single"/>
              </w:rPr>
              <w:t xml:space="preserve">                             </w:t>
            </w:r>
          </w:p>
        </w:tc>
        <w:tc>
          <w:tcPr>
            <w:tcW w:w="1029" w:type="dxa"/>
            <w:noWrap w:val="0"/>
            <w:vAlign w:val="center"/>
          </w:tcPr>
          <w:p>
            <w:pPr>
              <w:pageBreakBefore w:val="0"/>
              <w:kinsoku/>
              <w:wordWrap/>
              <w:overflowPunct/>
              <w:topLinePunct w:val="0"/>
              <w:bidi w:val="0"/>
              <w:adjustRightInd/>
              <w:snapToGrid/>
              <w:spacing w:line="240" w:lineRule="auto"/>
              <w:ind w:left="0" w:leftChars="0" w:right="0" w:rightChars="0"/>
              <w:rPr>
                <w:rFonts w:ascii="仿宋" w:hAnsi="仿宋" w:eastAsia="仿宋" w:cs="仿宋"/>
                <w:highlight w:val="none"/>
              </w:rPr>
            </w:pPr>
          </w:p>
        </w:tc>
        <w:tc>
          <w:tcPr>
            <w:tcW w:w="724" w:type="dxa"/>
            <w:noWrap w:val="0"/>
            <w:vAlign w:val="center"/>
          </w:tcPr>
          <w:p>
            <w:pPr>
              <w:pageBreakBefore w:val="0"/>
              <w:kinsoku/>
              <w:wordWrap/>
              <w:overflowPunct/>
              <w:topLinePunct w:val="0"/>
              <w:bidi w:val="0"/>
              <w:adjustRightInd/>
              <w:snapToGrid/>
              <w:spacing w:line="240" w:lineRule="auto"/>
              <w:ind w:left="0" w:leftChars="0" w:right="0" w:rightChars="0"/>
              <w:rPr>
                <w:rFonts w:ascii="仿宋" w:hAnsi="仿宋" w:eastAsia="仿宋" w:cs="仿宋"/>
                <w:spacing w:val="2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7347" w:type="dxa"/>
            <w:gridSpan w:val="7"/>
            <w:noWrap w:val="0"/>
            <w:vAlign w:val="center"/>
          </w:tcPr>
          <w:p>
            <w:pPr>
              <w:pageBreakBefore w:val="0"/>
              <w:kinsoku/>
              <w:wordWrap/>
              <w:overflowPunct/>
              <w:topLinePunct w:val="0"/>
              <w:bidi w:val="0"/>
              <w:adjustRightInd/>
              <w:snapToGrid/>
              <w:spacing w:line="240" w:lineRule="auto"/>
              <w:ind w:left="0" w:leftChars="0" w:right="0" w:rightChars="0"/>
              <w:jc w:val="left"/>
              <w:rPr>
                <w:rFonts w:hint="eastAsia" w:ascii="仿宋" w:hAnsi="仿宋" w:eastAsia="仿宋" w:cs="仿宋"/>
                <w:spacing w:val="20"/>
                <w:szCs w:val="21"/>
                <w:highlight w:val="none"/>
              </w:rPr>
            </w:pPr>
            <w:r>
              <w:rPr>
                <w:rFonts w:hint="eastAsia" w:ascii="仿宋" w:hAnsi="仿宋" w:eastAsia="仿宋" w:cs="仿宋"/>
                <w:spacing w:val="20"/>
                <w:szCs w:val="21"/>
                <w:highlight w:val="none"/>
                <w:u w:val="none"/>
                <w:lang w:val="en-US" w:eastAsia="zh-CN"/>
              </w:rPr>
              <w:t>不含税</w:t>
            </w:r>
            <w:r>
              <w:rPr>
                <w:rFonts w:hint="eastAsia" w:ascii="仿宋" w:hAnsi="仿宋" w:eastAsia="仿宋" w:cs="仿宋"/>
                <w:spacing w:val="20"/>
                <w:szCs w:val="21"/>
                <w:highlight w:val="none"/>
              </w:rPr>
              <w:t>合计：大写</w:t>
            </w:r>
          </w:p>
        </w:tc>
        <w:tc>
          <w:tcPr>
            <w:tcW w:w="1029" w:type="dxa"/>
            <w:noWrap w:val="0"/>
            <w:vAlign w:val="center"/>
          </w:tcPr>
          <w:p>
            <w:pPr>
              <w:pageBreakBefore w:val="0"/>
              <w:kinsoku/>
              <w:wordWrap/>
              <w:overflowPunct/>
              <w:topLinePunct w:val="0"/>
              <w:bidi w:val="0"/>
              <w:adjustRightInd/>
              <w:snapToGrid/>
              <w:spacing w:line="240" w:lineRule="auto"/>
              <w:ind w:left="0" w:leftChars="0" w:right="0" w:rightChars="0"/>
              <w:rPr>
                <w:rFonts w:ascii="仿宋" w:hAnsi="仿宋" w:eastAsia="仿宋" w:cs="仿宋"/>
                <w:highlight w:val="none"/>
              </w:rPr>
            </w:pPr>
          </w:p>
        </w:tc>
        <w:tc>
          <w:tcPr>
            <w:tcW w:w="724" w:type="dxa"/>
            <w:noWrap w:val="0"/>
            <w:vAlign w:val="center"/>
          </w:tcPr>
          <w:p>
            <w:pPr>
              <w:pageBreakBefore w:val="0"/>
              <w:kinsoku/>
              <w:wordWrap/>
              <w:overflowPunct/>
              <w:topLinePunct w:val="0"/>
              <w:bidi w:val="0"/>
              <w:adjustRightInd/>
              <w:snapToGrid/>
              <w:spacing w:line="240" w:lineRule="auto"/>
              <w:ind w:left="0" w:leftChars="0" w:right="0" w:rightChars="0"/>
              <w:rPr>
                <w:rFonts w:ascii="仿宋" w:hAnsi="仿宋" w:eastAsia="仿宋" w:cs="仿宋"/>
                <w:spacing w:val="2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7347" w:type="dxa"/>
            <w:gridSpan w:val="7"/>
            <w:noWrap w:val="0"/>
            <w:vAlign w:val="center"/>
          </w:tcPr>
          <w:p>
            <w:pPr>
              <w:pageBreakBefore w:val="0"/>
              <w:kinsoku/>
              <w:wordWrap/>
              <w:overflowPunct/>
              <w:topLinePunct w:val="0"/>
              <w:bidi w:val="0"/>
              <w:adjustRightInd/>
              <w:snapToGrid/>
              <w:spacing w:line="240" w:lineRule="auto"/>
              <w:ind w:left="0" w:leftChars="0" w:right="0" w:rightChars="0"/>
              <w:jc w:val="left"/>
              <w:rPr>
                <w:rFonts w:hint="eastAsia" w:ascii="仿宋" w:hAnsi="仿宋" w:eastAsia="仿宋" w:cs="仿宋"/>
                <w:spacing w:val="20"/>
                <w:szCs w:val="21"/>
                <w:highlight w:val="none"/>
                <w:lang w:eastAsia="zh-CN"/>
              </w:rPr>
            </w:pPr>
            <w:r>
              <w:rPr>
                <w:rFonts w:hint="eastAsia" w:ascii="仿宋" w:hAnsi="仿宋" w:eastAsia="仿宋" w:cs="仿宋"/>
                <w:spacing w:val="20"/>
                <w:szCs w:val="21"/>
                <w:highlight w:val="none"/>
                <w:lang w:eastAsia="zh-CN"/>
              </w:rPr>
              <w:t>含税合计：大写</w:t>
            </w:r>
          </w:p>
        </w:tc>
        <w:tc>
          <w:tcPr>
            <w:tcW w:w="1029" w:type="dxa"/>
            <w:noWrap w:val="0"/>
            <w:vAlign w:val="center"/>
          </w:tcPr>
          <w:p>
            <w:pPr>
              <w:pageBreakBefore w:val="0"/>
              <w:kinsoku/>
              <w:wordWrap/>
              <w:overflowPunct/>
              <w:topLinePunct w:val="0"/>
              <w:bidi w:val="0"/>
              <w:adjustRightInd/>
              <w:snapToGrid/>
              <w:spacing w:line="240" w:lineRule="auto"/>
              <w:ind w:left="0" w:leftChars="0" w:right="0" w:rightChars="0"/>
              <w:rPr>
                <w:rFonts w:ascii="仿宋" w:hAnsi="仿宋" w:eastAsia="仿宋" w:cs="仿宋"/>
                <w:highlight w:val="none"/>
              </w:rPr>
            </w:pPr>
          </w:p>
        </w:tc>
        <w:tc>
          <w:tcPr>
            <w:tcW w:w="724" w:type="dxa"/>
            <w:noWrap w:val="0"/>
            <w:vAlign w:val="center"/>
          </w:tcPr>
          <w:p>
            <w:pPr>
              <w:pageBreakBefore w:val="0"/>
              <w:kinsoku/>
              <w:wordWrap/>
              <w:overflowPunct/>
              <w:topLinePunct w:val="0"/>
              <w:bidi w:val="0"/>
              <w:adjustRightInd/>
              <w:snapToGrid/>
              <w:spacing w:line="240" w:lineRule="auto"/>
              <w:ind w:left="0" w:leftChars="0" w:right="0" w:rightChars="0"/>
              <w:rPr>
                <w:rFonts w:ascii="仿宋" w:hAnsi="仿宋" w:eastAsia="仿宋" w:cs="仿宋"/>
                <w:spacing w:val="20"/>
                <w:szCs w:val="21"/>
                <w:highlight w:val="none"/>
              </w:rPr>
            </w:pPr>
          </w:p>
        </w:tc>
      </w:tr>
    </w:tbl>
    <w:p>
      <w:pPr>
        <w:pageBreakBefore w:val="0"/>
        <w:kinsoku/>
        <w:wordWrap/>
        <w:overflowPunct/>
        <w:topLinePunct w:val="0"/>
        <w:bidi w:val="0"/>
        <w:adjustRightInd/>
        <w:snapToGrid/>
        <w:spacing w:line="240" w:lineRule="auto"/>
        <w:ind w:left="0" w:leftChars="0" w:right="0" w:rightChars="0"/>
        <w:rPr>
          <w:rFonts w:ascii="仿宋" w:hAnsi="仿宋" w:eastAsia="仿宋" w:cs="仿宋"/>
          <w:spacing w:val="20"/>
          <w:szCs w:val="21"/>
          <w:highlight w:val="none"/>
        </w:rPr>
      </w:pPr>
    </w:p>
    <w:p>
      <w:pPr>
        <w:pageBreakBefore w:val="0"/>
        <w:kinsoku/>
        <w:wordWrap/>
        <w:overflowPunct/>
        <w:topLinePunct w:val="0"/>
        <w:bidi w:val="0"/>
        <w:adjustRightInd/>
        <w:snapToGrid/>
        <w:spacing w:line="240" w:lineRule="auto"/>
        <w:ind w:left="0" w:leftChars="0" w:right="0" w:rightChars="0"/>
        <w:rPr>
          <w:rFonts w:hint="default" w:ascii="仿宋" w:hAnsi="仿宋" w:eastAsia="仿宋" w:cs="仿宋"/>
          <w:sz w:val="24"/>
          <w:highlight w:val="none"/>
          <w:lang w:val="en-US" w:eastAsia="zh-CN"/>
        </w:rPr>
      </w:pPr>
      <w:r>
        <w:rPr>
          <w:rFonts w:hint="eastAsia" w:ascii="仿宋" w:hAnsi="仿宋" w:eastAsia="仿宋" w:cs="仿宋"/>
          <w:sz w:val="24"/>
          <w:highlight w:val="none"/>
        </w:rPr>
        <w:t>备注：以上报价含税票、运送、安装、培训及其他所有费用。</w:t>
      </w:r>
    </w:p>
    <w:p>
      <w:pPr>
        <w:adjustRightInd w:val="0"/>
        <w:snapToGrid w:val="0"/>
        <w:spacing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投标人</w:t>
      </w:r>
      <w:r>
        <w:rPr>
          <w:rFonts w:ascii="仿宋" w:hAnsi="仿宋" w:eastAsia="仿宋" w:cs="仿宋"/>
          <w:color w:val="auto"/>
          <w:sz w:val="24"/>
          <w:highlight w:val="none"/>
        </w:rPr>
        <w:t>/</w:t>
      </w:r>
      <w:r>
        <w:rPr>
          <w:rFonts w:hint="eastAsia" w:ascii="仿宋" w:hAnsi="仿宋" w:eastAsia="仿宋" w:cs="仿宋"/>
          <w:color w:val="auto"/>
          <w:sz w:val="24"/>
          <w:highlight w:val="none"/>
        </w:rPr>
        <w:t>响应供应商法定代表人（或法定代表人授权代表）签字：</w:t>
      </w:r>
      <w:r>
        <w:rPr>
          <w:rFonts w:ascii="仿宋" w:hAnsi="仿宋" w:eastAsia="仿宋" w:cs="仿宋"/>
          <w:color w:val="auto"/>
          <w:sz w:val="24"/>
          <w:highlight w:val="none"/>
          <w:u w:val="single"/>
        </w:rPr>
        <w:t xml:space="preserve">                   </w:t>
      </w:r>
    </w:p>
    <w:p>
      <w:pPr>
        <w:adjustRightInd w:val="0"/>
        <w:snapToGrid w:val="0"/>
        <w:spacing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投标人</w:t>
      </w:r>
      <w:r>
        <w:rPr>
          <w:rFonts w:ascii="仿宋" w:hAnsi="仿宋" w:eastAsia="仿宋" w:cs="仿宋"/>
          <w:color w:val="auto"/>
          <w:sz w:val="24"/>
          <w:highlight w:val="none"/>
        </w:rPr>
        <w:t>/</w:t>
      </w:r>
      <w:r>
        <w:rPr>
          <w:rFonts w:hint="eastAsia" w:ascii="仿宋" w:hAnsi="仿宋" w:eastAsia="仿宋" w:cs="仿宋"/>
          <w:color w:val="auto"/>
          <w:sz w:val="24"/>
          <w:highlight w:val="none"/>
        </w:rPr>
        <w:t>响应供应商名称（盖章）：</w:t>
      </w:r>
      <w:r>
        <w:rPr>
          <w:rFonts w:ascii="仿宋" w:hAnsi="仿宋" w:eastAsia="仿宋" w:cs="仿宋"/>
          <w:color w:val="auto"/>
          <w:sz w:val="24"/>
          <w:highlight w:val="none"/>
          <w:u w:val="single"/>
        </w:rPr>
        <w:t xml:space="preserve">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日期：</w:t>
      </w:r>
      <w:r>
        <w:rPr>
          <w:rFonts w:ascii="仿宋" w:hAnsi="仿宋" w:eastAsia="仿宋" w:cs="仿宋"/>
          <w:color w:val="auto"/>
          <w:sz w:val="24"/>
          <w:highlight w:val="none"/>
        </w:rPr>
        <w:t xml:space="preserve">   </w:t>
      </w:r>
      <w:r>
        <w:rPr>
          <w:rFonts w:hint="eastAsia" w:ascii="仿宋" w:hAnsi="仿宋" w:eastAsia="仿宋" w:cs="仿宋"/>
          <w:color w:val="auto"/>
          <w:sz w:val="24"/>
          <w:highlight w:val="none"/>
        </w:rPr>
        <w:t>年</w:t>
      </w:r>
      <w:r>
        <w:rPr>
          <w:rFonts w:ascii="仿宋" w:hAnsi="仿宋" w:eastAsia="仿宋" w:cs="仿宋"/>
          <w:color w:val="auto"/>
          <w:sz w:val="24"/>
          <w:highlight w:val="none"/>
        </w:rPr>
        <w:t xml:space="preserve">   </w:t>
      </w:r>
      <w:r>
        <w:rPr>
          <w:rFonts w:hint="eastAsia" w:ascii="仿宋" w:hAnsi="仿宋" w:eastAsia="仿宋" w:cs="仿宋"/>
          <w:color w:val="auto"/>
          <w:sz w:val="24"/>
          <w:highlight w:val="none"/>
        </w:rPr>
        <w:t>月</w:t>
      </w:r>
      <w:r>
        <w:rPr>
          <w:rFonts w:ascii="仿宋" w:hAnsi="仿宋" w:eastAsia="仿宋" w:cs="仿宋"/>
          <w:color w:val="auto"/>
          <w:sz w:val="24"/>
          <w:highlight w:val="none"/>
        </w:rPr>
        <w:t xml:space="preserve">   </w:t>
      </w:r>
      <w:r>
        <w:rPr>
          <w:rFonts w:hint="eastAsia" w:ascii="仿宋" w:hAnsi="仿宋" w:eastAsia="仿宋" w:cs="仿宋"/>
          <w:color w:val="auto"/>
          <w:sz w:val="24"/>
          <w:highlight w:val="none"/>
        </w:rPr>
        <w:t>日</w:t>
      </w:r>
    </w:p>
    <w:p>
      <w:pPr>
        <w:adjustRightInd w:val="0"/>
        <w:snapToGrid w:val="0"/>
        <w:spacing w:line="360" w:lineRule="auto"/>
        <w:ind w:firstLine="480" w:firstLineChars="200"/>
        <w:rPr>
          <w:rFonts w:hint="eastAsia" w:ascii="仿宋" w:hAnsi="仿宋" w:eastAsia="仿宋" w:cs="仿宋"/>
          <w:color w:val="auto"/>
          <w:sz w:val="24"/>
          <w:highlight w:val="none"/>
        </w:rPr>
      </w:pPr>
    </w:p>
    <w:p>
      <w:pPr>
        <w:pStyle w:val="2"/>
        <w:spacing w:before="0" w:after="0" w:line="360" w:lineRule="auto"/>
        <w:rPr>
          <w:rFonts w:hint="eastAsia" w:ascii="仿宋" w:hAnsi="仿宋" w:eastAsia="仿宋" w:cs="仿宋"/>
          <w:color w:val="auto"/>
          <w:sz w:val="28"/>
          <w:szCs w:val="28"/>
          <w:highlight w:val="none"/>
        </w:rPr>
      </w:pPr>
    </w:p>
    <w:p>
      <w:pPr>
        <w:pStyle w:val="2"/>
        <w:spacing w:before="0" w:after="0"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附件</w:t>
      </w:r>
      <w:r>
        <w:rPr>
          <w:rFonts w:hint="eastAsia" w:ascii="仿宋" w:hAnsi="仿宋" w:eastAsia="仿宋" w:cs="仿宋"/>
          <w:color w:val="auto"/>
          <w:sz w:val="28"/>
          <w:szCs w:val="28"/>
          <w:highlight w:val="none"/>
          <w:lang w:eastAsia="zh-CN"/>
        </w:rPr>
        <w:t>四</w:t>
      </w:r>
      <w:r>
        <w:rPr>
          <w:rFonts w:hint="eastAsia" w:ascii="仿宋" w:hAnsi="仿宋" w:eastAsia="仿宋" w:cs="仿宋"/>
          <w:color w:val="auto"/>
          <w:sz w:val="28"/>
          <w:szCs w:val="28"/>
          <w:highlight w:val="none"/>
        </w:rPr>
        <w:t>：投标函</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cs="宋体"/>
          <w:b/>
          <w:color w:val="auto"/>
          <w:sz w:val="36"/>
          <w:szCs w:val="36"/>
          <w:highlight w:val="none"/>
        </w:rPr>
      </w:pPr>
      <w:r>
        <w:rPr>
          <w:rFonts w:hint="eastAsia" w:ascii="宋体" w:hAnsi="宋体" w:cs="宋体"/>
          <w:b/>
          <w:color w:val="auto"/>
          <w:sz w:val="36"/>
          <w:szCs w:val="36"/>
          <w:highlight w:val="none"/>
        </w:rPr>
        <w:t>投标函</w:t>
      </w:r>
    </w:p>
    <w:p>
      <w:pPr>
        <w:pStyle w:val="6"/>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南通</w:t>
      </w:r>
      <w:r>
        <w:rPr>
          <w:rFonts w:hint="eastAsia" w:ascii="仿宋" w:hAnsi="仿宋" w:eastAsia="仿宋" w:cs="仿宋"/>
          <w:color w:val="auto"/>
          <w:sz w:val="24"/>
          <w:szCs w:val="24"/>
          <w:highlight w:val="none"/>
          <w:u w:val="single"/>
          <w:lang w:eastAsia="zh-CN"/>
        </w:rPr>
        <w:t>机场集团</w:t>
      </w:r>
      <w:r>
        <w:rPr>
          <w:rFonts w:hint="eastAsia" w:ascii="仿宋" w:hAnsi="仿宋" w:eastAsia="仿宋" w:cs="仿宋"/>
          <w:color w:val="auto"/>
          <w:sz w:val="24"/>
          <w:szCs w:val="24"/>
          <w:highlight w:val="none"/>
          <w:u w:val="single"/>
        </w:rPr>
        <w:t>有限公司</w:t>
      </w:r>
      <w:r>
        <w:rPr>
          <w:rFonts w:hint="eastAsia" w:ascii="仿宋" w:hAnsi="仿宋" w:eastAsia="仿宋" w:cs="仿宋"/>
          <w:color w:val="auto"/>
          <w:sz w:val="24"/>
          <w:szCs w:val="24"/>
          <w:highlight w:val="none"/>
        </w:rPr>
        <w:t>：</w:t>
      </w:r>
    </w:p>
    <w:p>
      <w:pPr>
        <w:pStyle w:val="6"/>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根据贵方</w:t>
      </w:r>
      <w:r>
        <w:rPr>
          <w:rFonts w:hint="eastAsia" w:ascii="仿宋" w:hAnsi="仿宋" w:eastAsia="仿宋" w:cs="仿宋"/>
          <w:color w:val="auto"/>
          <w:sz w:val="24"/>
          <w:szCs w:val="24"/>
          <w:highlight w:val="none"/>
          <w:u w:val="single"/>
          <w:lang w:val="en-US" w:eastAsia="zh-CN"/>
        </w:rPr>
        <w:t>XXXX</w:t>
      </w:r>
      <w:r>
        <w:rPr>
          <w:rFonts w:hint="eastAsia" w:ascii="仿宋" w:hAnsi="仿宋" w:eastAsia="仿宋" w:cs="仿宋"/>
          <w:color w:val="auto"/>
          <w:sz w:val="24"/>
          <w:szCs w:val="24"/>
          <w:highlight w:val="none"/>
        </w:rPr>
        <w:t>项目</w:t>
      </w:r>
      <w:r>
        <w:rPr>
          <w:rFonts w:hint="eastAsia" w:ascii="仿宋" w:hAnsi="仿宋" w:eastAsia="仿宋" w:cs="仿宋"/>
          <w:color w:val="auto"/>
          <w:sz w:val="24"/>
          <w:szCs w:val="24"/>
          <w:highlight w:val="none"/>
          <w:lang w:eastAsia="zh-CN"/>
        </w:rPr>
        <w:t>采购公告</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招标编号</w:t>
      </w:r>
      <w:r>
        <w:rPr>
          <w:rFonts w:hint="eastAsia" w:ascii="仿宋" w:hAnsi="仿宋" w:eastAsia="仿宋" w:cs="仿宋"/>
          <w:color w:val="auto"/>
          <w:sz w:val="24"/>
          <w:szCs w:val="24"/>
          <w:highlight w:val="none"/>
          <w:u w:val="single"/>
          <w:lang w:eastAsia="zh-CN"/>
        </w:rPr>
        <w:t>XXXX-XX-202XXXX</w:t>
      </w:r>
      <w:r>
        <w:rPr>
          <w:rFonts w:hint="eastAsia" w:ascii="仿宋" w:hAnsi="仿宋" w:eastAsia="仿宋" w:cs="仿宋"/>
          <w:color w:val="auto"/>
          <w:sz w:val="24"/>
          <w:szCs w:val="24"/>
          <w:highlight w:val="none"/>
        </w:rPr>
        <w:t>），签字代表</w:t>
      </w:r>
      <w:r>
        <w:rPr>
          <w:rFonts w:hint="eastAsia" w:ascii="仿宋" w:hAnsi="仿宋" w:eastAsia="仿宋" w:cs="仿宋"/>
          <w:color w:val="auto"/>
          <w:sz w:val="24"/>
          <w:szCs w:val="24"/>
          <w:highlight w:val="none"/>
          <w:u w:val="single"/>
        </w:rPr>
        <w:t>（姓名、职务）</w:t>
      </w:r>
      <w:r>
        <w:rPr>
          <w:rFonts w:hint="eastAsia" w:ascii="仿宋" w:hAnsi="仿宋" w:eastAsia="仿宋" w:cs="仿宋"/>
          <w:color w:val="auto"/>
          <w:sz w:val="24"/>
          <w:szCs w:val="24"/>
          <w:highlight w:val="none"/>
        </w:rPr>
        <w:t>经正式授权并代表投标人</w:t>
      </w:r>
      <w:r>
        <w:rPr>
          <w:rFonts w:hint="eastAsia" w:ascii="仿宋" w:hAnsi="仿宋" w:eastAsia="仿宋" w:cs="仿宋"/>
          <w:color w:val="auto"/>
          <w:sz w:val="24"/>
          <w:szCs w:val="24"/>
          <w:highlight w:val="none"/>
          <w:u w:val="single"/>
        </w:rPr>
        <w:t>（</w:t>
      </w:r>
      <w:r>
        <w:rPr>
          <w:rFonts w:hint="eastAsia" w:ascii="仿宋" w:hAnsi="仿宋" w:eastAsia="仿宋" w:cs="仿宋"/>
          <w:color w:val="auto"/>
          <w:sz w:val="24"/>
          <w:szCs w:val="24"/>
          <w:highlight w:val="none"/>
          <w:u w:val="single"/>
          <w:lang w:eastAsia="zh-CN"/>
        </w:rPr>
        <w:t>响应供应商</w:t>
      </w:r>
      <w:r>
        <w:rPr>
          <w:rFonts w:hint="eastAsia" w:ascii="仿宋" w:hAnsi="仿宋" w:eastAsia="仿宋" w:cs="仿宋"/>
          <w:color w:val="auto"/>
          <w:sz w:val="24"/>
          <w:szCs w:val="24"/>
          <w:highlight w:val="none"/>
          <w:u w:val="single"/>
        </w:rPr>
        <w:t>名称、地址）</w:t>
      </w:r>
      <w:r>
        <w:rPr>
          <w:rFonts w:hint="eastAsia" w:ascii="仿宋" w:hAnsi="仿宋" w:eastAsia="仿宋" w:cs="仿宋"/>
          <w:color w:val="auto"/>
          <w:sz w:val="24"/>
          <w:szCs w:val="24"/>
          <w:highlight w:val="none"/>
        </w:rPr>
        <w:t>提交</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正本一份及副本一份（包括</w:t>
      </w:r>
      <w:r>
        <w:rPr>
          <w:rFonts w:hint="eastAsia" w:ascii="仿宋" w:hAnsi="仿宋" w:eastAsia="仿宋" w:cs="仿宋"/>
          <w:color w:val="auto"/>
          <w:sz w:val="24"/>
          <w:szCs w:val="24"/>
          <w:highlight w:val="none"/>
          <w:lang w:eastAsia="zh-CN"/>
        </w:rPr>
        <w:t>采购文件</w:t>
      </w:r>
      <w:r>
        <w:rPr>
          <w:rFonts w:hint="eastAsia" w:ascii="仿宋" w:hAnsi="仿宋" w:eastAsia="仿宋" w:cs="仿宋"/>
          <w:color w:val="auto"/>
          <w:sz w:val="24"/>
          <w:szCs w:val="24"/>
          <w:highlight w:val="none"/>
        </w:rPr>
        <w:t>要求提供的全部资料）；</w:t>
      </w:r>
    </w:p>
    <w:p>
      <w:pPr>
        <w:pStyle w:val="6"/>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据此函，签字代表宣布同意如下：</w:t>
      </w:r>
    </w:p>
    <w:p>
      <w:pPr>
        <w:pStyle w:val="6"/>
        <w:spacing w:line="360" w:lineRule="auto"/>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1．所附投标价格表中规定的</w:t>
      </w:r>
      <w:r>
        <w:rPr>
          <w:rFonts w:hint="eastAsia" w:ascii="仿宋" w:hAnsi="仿宋" w:eastAsia="仿宋" w:cs="仿宋"/>
          <w:color w:val="auto"/>
          <w:sz w:val="24"/>
          <w:szCs w:val="24"/>
          <w:highlight w:val="none"/>
          <w:lang w:eastAsia="zh-CN"/>
        </w:rPr>
        <w:t>项目</w:t>
      </w:r>
      <w:r>
        <w:rPr>
          <w:rFonts w:hint="eastAsia" w:ascii="仿宋" w:hAnsi="仿宋" w:eastAsia="仿宋" w:cs="仿宋"/>
          <w:color w:val="auto"/>
          <w:sz w:val="24"/>
          <w:szCs w:val="24"/>
          <w:highlight w:val="none"/>
        </w:rPr>
        <w:t>投标总价为</w:t>
      </w:r>
      <w:r>
        <w:rPr>
          <w:rFonts w:hint="eastAsia" w:ascii="仿宋" w:hAnsi="仿宋" w:eastAsia="仿宋" w:cs="仿宋"/>
          <w:color w:val="auto"/>
          <w:sz w:val="24"/>
          <w:szCs w:val="24"/>
          <w:highlight w:val="none"/>
          <w:u w:val="single"/>
        </w:rPr>
        <w:t>（注明币种，并用文字和数字表示的投标总价）。</w:t>
      </w:r>
    </w:p>
    <w:p>
      <w:pPr>
        <w:pStyle w:val="6"/>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2．我方已详细审查全部</w:t>
      </w:r>
      <w:r>
        <w:rPr>
          <w:rFonts w:hint="eastAsia" w:ascii="仿宋" w:hAnsi="仿宋" w:eastAsia="仿宋" w:cs="仿宋"/>
          <w:color w:val="auto"/>
          <w:sz w:val="24"/>
          <w:szCs w:val="24"/>
          <w:highlight w:val="none"/>
          <w:lang w:eastAsia="zh-CN"/>
        </w:rPr>
        <w:t>采购文件</w:t>
      </w:r>
      <w:r>
        <w:rPr>
          <w:rFonts w:hint="eastAsia" w:ascii="仿宋" w:hAnsi="仿宋" w:eastAsia="仿宋" w:cs="仿宋"/>
          <w:color w:val="auto"/>
          <w:sz w:val="24"/>
          <w:szCs w:val="24"/>
          <w:highlight w:val="none"/>
        </w:rPr>
        <w:t>，包括有关澄清和补充说明（如果有的话）。我们完全理解并同意放弃对这方面有不明及误解的权力。</w:t>
      </w:r>
    </w:p>
    <w:p>
      <w:pPr>
        <w:pStyle w:val="6"/>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3．本</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有效期为自开标日起</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XX</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个日历日。在这期间，本</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将始终对我方具有约束力，并可随时被接受。本次</w:t>
      </w:r>
      <w:r>
        <w:rPr>
          <w:rFonts w:hint="eastAsia" w:ascii="仿宋" w:hAnsi="仿宋" w:eastAsia="仿宋" w:cs="仿宋"/>
          <w:color w:val="auto"/>
          <w:sz w:val="24"/>
          <w:szCs w:val="24"/>
          <w:highlight w:val="none"/>
          <w:lang w:eastAsia="zh-CN"/>
        </w:rPr>
        <w:t>采购文件</w:t>
      </w:r>
      <w:r>
        <w:rPr>
          <w:rFonts w:hint="eastAsia" w:ascii="仿宋" w:hAnsi="仿宋" w:eastAsia="仿宋" w:cs="仿宋"/>
          <w:color w:val="auto"/>
          <w:sz w:val="24"/>
          <w:szCs w:val="24"/>
          <w:highlight w:val="none"/>
        </w:rPr>
        <w:t>和本</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（含承诺书）将作为买卖合同的附件。</w:t>
      </w:r>
    </w:p>
    <w:p>
      <w:pPr>
        <w:pStyle w:val="6"/>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4．如果在规定的开标时间后，我方在投标有效期内撤回投标，其投标保证金将被贵方没收。</w:t>
      </w:r>
    </w:p>
    <w:p>
      <w:pPr>
        <w:pStyle w:val="6"/>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5．我方愿意向</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提供任何与本次招标相关的其他资料。</w:t>
      </w:r>
    </w:p>
    <w:p>
      <w:pPr>
        <w:pStyle w:val="6"/>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6．我方将严格履行本</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中的全部承诺和责任，并遵守</w:t>
      </w:r>
      <w:r>
        <w:rPr>
          <w:rFonts w:hint="eastAsia" w:ascii="仿宋" w:hAnsi="仿宋" w:eastAsia="仿宋" w:cs="仿宋"/>
          <w:color w:val="auto"/>
          <w:sz w:val="24"/>
          <w:szCs w:val="24"/>
          <w:highlight w:val="none"/>
          <w:lang w:eastAsia="zh-CN"/>
        </w:rPr>
        <w:t>采购文件</w:t>
      </w:r>
      <w:r>
        <w:rPr>
          <w:rFonts w:hint="eastAsia" w:ascii="仿宋" w:hAnsi="仿宋" w:eastAsia="仿宋" w:cs="仿宋"/>
          <w:color w:val="auto"/>
          <w:sz w:val="24"/>
          <w:szCs w:val="24"/>
          <w:highlight w:val="none"/>
        </w:rPr>
        <w:t>中对</w:t>
      </w:r>
      <w:r>
        <w:rPr>
          <w:rFonts w:hint="eastAsia" w:ascii="仿宋" w:hAnsi="仿宋" w:eastAsia="仿宋" w:cs="仿宋"/>
          <w:color w:val="auto"/>
          <w:sz w:val="24"/>
          <w:szCs w:val="24"/>
          <w:highlight w:val="none"/>
          <w:lang w:eastAsia="zh-CN"/>
        </w:rPr>
        <w:t>响应供应商</w:t>
      </w:r>
      <w:r>
        <w:rPr>
          <w:rFonts w:hint="eastAsia" w:ascii="仿宋" w:hAnsi="仿宋" w:eastAsia="仿宋" w:cs="仿宋"/>
          <w:color w:val="auto"/>
          <w:sz w:val="24"/>
          <w:szCs w:val="24"/>
          <w:highlight w:val="none"/>
        </w:rPr>
        <w:t>的所有规定。</w:t>
      </w:r>
    </w:p>
    <w:p>
      <w:pPr>
        <w:pStyle w:val="6"/>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7．如果我方中标，将派出（姓名）作为本项目的项目负责人（或项目经理）。</w:t>
      </w:r>
    </w:p>
    <w:p>
      <w:pPr>
        <w:pStyle w:val="6"/>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8．如果我方中标，我们将在合同签订生效后按合同约定施工。并将按</w:t>
      </w:r>
      <w:r>
        <w:rPr>
          <w:rFonts w:hint="eastAsia" w:ascii="仿宋" w:hAnsi="仿宋" w:eastAsia="仿宋" w:cs="仿宋"/>
          <w:color w:val="auto"/>
          <w:sz w:val="24"/>
          <w:szCs w:val="24"/>
          <w:highlight w:val="none"/>
          <w:lang w:eastAsia="zh-CN"/>
        </w:rPr>
        <w:t>采购文件</w:t>
      </w:r>
      <w:r>
        <w:rPr>
          <w:rFonts w:hint="eastAsia" w:ascii="仿宋" w:hAnsi="仿宋" w:eastAsia="仿宋" w:cs="仿宋"/>
          <w:color w:val="auto"/>
          <w:sz w:val="24"/>
          <w:szCs w:val="24"/>
          <w:highlight w:val="none"/>
        </w:rPr>
        <w:t>的规定履行合同责任和义务。</w:t>
      </w:r>
    </w:p>
    <w:p>
      <w:pPr>
        <w:pStyle w:val="6"/>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10．如果我们中标，我们将按</w:t>
      </w:r>
      <w:r>
        <w:rPr>
          <w:rFonts w:hint="eastAsia" w:ascii="仿宋" w:hAnsi="仿宋" w:eastAsia="仿宋" w:cs="仿宋"/>
          <w:color w:val="auto"/>
          <w:sz w:val="24"/>
          <w:szCs w:val="24"/>
          <w:highlight w:val="none"/>
          <w:lang w:eastAsia="zh-CN"/>
        </w:rPr>
        <w:t>采购文件</w:t>
      </w:r>
      <w:r>
        <w:rPr>
          <w:rFonts w:hint="eastAsia" w:ascii="仿宋" w:hAnsi="仿宋" w:eastAsia="仿宋" w:cs="仿宋"/>
          <w:color w:val="auto"/>
          <w:sz w:val="24"/>
          <w:szCs w:val="24"/>
          <w:highlight w:val="none"/>
        </w:rPr>
        <w:t>的规定支付中标的有关服务费。</w:t>
      </w:r>
    </w:p>
    <w:p>
      <w:pPr>
        <w:pStyle w:val="6"/>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11.与本次投标有关的一切往来信函请寄：</w:t>
      </w:r>
    </w:p>
    <w:p>
      <w:pPr>
        <w:pStyle w:val="6"/>
        <w:spacing w:line="360" w:lineRule="auto"/>
        <w:ind w:firstLine="480" w:firstLineChars="200"/>
        <w:rPr>
          <w:rFonts w:hint="eastAsia" w:ascii="仿宋" w:hAnsi="仿宋" w:eastAsia="仿宋" w:cs="仿宋"/>
          <w:color w:val="auto"/>
          <w:sz w:val="24"/>
          <w:szCs w:val="24"/>
          <w:highlight w:val="none"/>
        </w:rPr>
      </w:pPr>
    </w:p>
    <w:p>
      <w:pPr>
        <w:pStyle w:val="6"/>
        <w:spacing w:line="360" w:lineRule="auto"/>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地址：                       邮编：</w:t>
      </w:r>
    </w:p>
    <w:p>
      <w:pPr>
        <w:pStyle w:val="6"/>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联系人：                     电话：</w:t>
      </w:r>
    </w:p>
    <w:p>
      <w:pPr>
        <w:pStyle w:val="6"/>
        <w:spacing w:line="360" w:lineRule="auto"/>
        <w:ind w:firstLine="480" w:firstLineChars="200"/>
        <w:rPr>
          <w:rFonts w:hint="eastAsia" w:ascii="仿宋" w:hAnsi="仿宋" w:eastAsia="仿宋" w:cs="仿宋"/>
          <w:color w:val="auto"/>
          <w:sz w:val="24"/>
          <w:szCs w:val="24"/>
          <w:highlight w:val="none"/>
        </w:rPr>
      </w:pPr>
    </w:p>
    <w:p>
      <w:pPr>
        <w:pStyle w:val="6"/>
        <w:tabs>
          <w:tab w:val="left" w:pos="5665"/>
          <w:tab w:val="right" w:pos="8360"/>
        </w:tabs>
        <w:spacing w:line="360" w:lineRule="auto"/>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法人代表或授权代表签字：</w:t>
      </w:r>
    </w:p>
    <w:p>
      <w:pPr>
        <w:pStyle w:val="6"/>
        <w:tabs>
          <w:tab w:val="left" w:pos="5665"/>
          <w:tab w:val="right" w:pos="8360"/>
        </w:tabs>
        <w:spacing w:line="360" w:lineRule="auto"/>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eastAsia="zh-CN"/>
        </w:rPr>
        <w:t>响应供应商</w:t>
      </w:r>
      <w:r>
        <w:rPr>
          <w:rFonts w:hint="eastAsia" w:ascii="仿宋" w:hAnsi="仿宋" w:eastAsia="仿宋" w:cs="仿宋"/>
          <w:color w:val="auto"/>
          <w:sz w:val="24"/>
          <w:szCs w:val="24"/>
          <w:highlight w:val="none"/>
        </w:rPr>
        <w:t>名称：(</w:t>
      </w:r>
      <w:r>
        <w:rPr>
          <w:rFonts w:hint="eastAsia" w:ascii="仿宋" w:hAnsi="仿宋" w:eastAsia="仿宋" w:cs="仿宋"/>
          <w:color w:val="auto"/>
          <w:sz w:val="24"/>
          <w:szCs w:val="24"/>
          <w:highlight w:val="none"/>
          <w:lang w:eastAsia="zh-CN"/>
        </w:rPr>
        <w:t>盖</w:t>
      </w:r>
      <w:r>
        <w:rPr>
          <w:rFonts w:hint="eastAsia" w:ascii="仿宋" w:hAnsi="仿宋" w:eastAsia="仿宋" w:cs="仿宋"/>
          <w:color w:val="auto"/>
          <w:sz w:val="24"/>
          <w:szCs w:val="24"/>
          <w:highlight w:val="none"/>
        </w:rPr>
        <w:t>章)</w:t>
      </w:r>
    </w:p>
    <w:p>
      <w:pPr>
        <w:pStyle w:val="6"/>
        <w:tabs>
          <w:tab w:val="left" w:pos="5665"/>
          <w:tab w:val="right" w:pos="836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eastAsia="zh-CN"/>
        </w:rPr>
        <w:t>年</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eastAsia="zh-CN"/>
        </w:rPr>
        <w:t>日</w:t>
      </w:r>
    </w:p>
    <w:p>
      <w:pPr>
        <w:pStyle w:val="2"/>
        <w:spacing w:before="0" w:after="0" w:line="360" w:lineRule="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附件</w:t>
      </w:r>
      <w:r>
        <w:rPr>
          <w:rFonts w:hint="eastAsia" w:ascii="仿宋" w:hAnsi="仿宋" w:eastAsia="仿宋" w:cs="仿宋"/>
          <w:b/>
          <w:bCs/>
          <w:color w:val="auto"/>
          <w:sz w:val="28"/>
          <w:szCs w:val="28"/>
          <w:highlight w:val="none"/>
          <w:lang w:eastAsia="zh-CN"/>
        </w:rPr>
        <w:t>五</w:t>
      </w:r>
      <w:r>
        <w:rPr>
          <w:rFonts w:hint="eastAsia" w:ascii="仿宋" w:hAnsi="仿宋" w:eastAsia="仿宋" w:cs="仿宋"/>
          <w:b/>
          <w:bCs/>
          <w:color w:val="auto"/>
          <w:sz w:val="28"/>
          <w:szCs w:val="28"/>
          <w:highlight w:val="none"/>
        </w:rPr>
        <w:t>：</w:t>
      </w:r>
      <w:r>
        <w:rPr>
          <w:rFonts w:hint="eastAsia" w:ascii="仿宋" w:hAnsi="仿宋" w:eastAsia="仿宋" w:cs="仿宋"/>
          <w:b/>
          <w:bCs/>
          <w:color w:val="auto"/>
          <w:sz w:val="28"/>
          <w:szCs w:val="28"/>
          <w:highlight w:val="none"/>
          <w:lang w:eastAsia="zh-CN"/>
        </w:rPr>
        <w:t>投标人</w:t>
      </w:r>
      <w:r>
        <w:rPr>
          <w:rFonts w:hint="eastAsia" w:ascii="仿宋" w:hAnsi="仿宋" w:eastAsia="仿宋" w:cs="仿宋"/>
          <w:b/>
          <w:bCs/>
          <w:color w:val="auto"/>
          <w:sz w:val="28"/>
          <w:szCs w:val="28"/>
          <w:highlight w:val="none"/>
        </w:rPr>
        <w:t>承诺书</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投标人承诺书</w:t>
      </w:r>
    </w:p>
    <w:p>
      <w:pPr>
        <w:autoSpaceDE w:val="0"/>
        <w:autoSpaceDN w:val="0"/>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致： 南通机场集团有限公司</w:t>
      </w:r>
    </w:p>
    <w:p>
      <w:pPr>
        <w:pStyle w:val="6"/>
        <w:pageBreakBefore w:val="0"/>
        <w:kinsoku/>
        <w:wordWrap/>
        <w:overflowPunct/>
        <w:topLinePunct w:val="0"/>
        <w:bidi w:val="0"/>
        <w:adjustRightInd/>
        <w:snapToGrid/>
        <w:spacing w:line="400" w:lineRule="exact"/>
        <w:ind w:left="0" w:leftChars="0" w:right="0" w:rightChars="0" w:firstLine="555"/>
        <w:rPr>
          <w:rFonts w:hint="eastAsia" w:ascii="仿宋" w:hAnsi="仿宋" w:eastAsia="仿宋" w:cs="仿宋"/>
          <w:sz w:val="24"/>
          <w:szCs w:val="24"/>
          <w:highlight w:val="none"/>
        </w:rPr>
      </w:pPr>
      <w:r>
        <w:rPr>
          <w:rFonts w:hint="eastAsia" w:ascii="仿宋" w:hAnsi="仿宋" w:eastAsia="仿宋" w:cs="仿宋"/>
          <w:sz w:val="24"/>
          <w:szCs w:val="24"/>
          <w:highlight w:val="none"/>
        </w:rPr>
        <w:t>我公司自愿参加贵单位</w:t>
      </w:r>
      <w:r>
        <w:rPr>
          <w:rFonts w:hint="eastAsia" w:ascii="仿宋" w:hAnsi="仿宋" w:eastAsia="仿宋" w:cs="仿宋"/>
          <w:sz w:val="24"/>
          <w:szCs w:val="24"/>
          <w:highlight w:val="none"/>
          <w:u w:val="single"/>
          <w:lang w:val="en-US" w:eastAsia="zh-CN"/>
        </w:rPr>
        <w:t>XXXX</w:t>
      </w:r>
      <w:r>
        <w:rPr>
          <w:rFonts w:hint="eastAsia" w:ascii="仿宋" w:hAnsi="仿宋" w:eastAsia="仿宋" w:cs="仿宋"/>
          <w:sz w:val="24"/>
          <w:szCs w:val="24"/>
          <w:highlight w:val="none"/>
          <w:lang w:eastAsia="zh-CN"/>
        </w:rPr>
        <w:t>采购</w:t>
      </w:r>
      <w:r>
        <w:rPr>
          <w:rFonts w:hint="eastAsia" w:ascii="仿宋" w:hAnsi="仿宋" w:eastAsia="仿宋" w:cs="仿宋"/>
          <w:sz w:val="24"/>
          <w:szCs w:val="24"/>
          <w:highlight w:val="none"/>
        </w:rPr>
        <w:t>项目的投标，在此我公司承诺：根据贵单位（南通</w:t>
      </w:r>
      <w:r>
        <w:rPr>
          <w:rFonts w:hint="eastAsia" w:ascii="仿宋" w:hAnsi="仿宋" w:eastAsia="仿宋" w:cs="仿宋"/>
          <w:sz w:val="24"/>
          <w:szCs w:val="24"/>
          <w:highlight w:val="none"/>
          <w:lang w:eastAsia="zh-CN"/>
        </w:rPr>
        <w:t>机场集团</w:t>
      </w:r>
      <w:r>
        <w:rPr>
          <w:rFonts w:hint="eastAsia" w:ascii="仿宋" w:hAnsi="仿宋" w:eastAsia="仿宋" w:cs="仿宋"/>
          <w:sz w:val="24"/>
          <w:szCs w:val="24"/>
          <w:highlight w:val="none"/>
        </w:rPr>
        <w:t>我公司自愿参加贵单位</w:t>
      </w:r>
      <w:r>
        <w:rPr>
          <w:rFonts w:hint="eastAsia" w:ascii="仿宋" w:hAnsi="仿宋" w:eastAsia="仿宋" w:cs="仿宋"/>
          <w:sz w:val="24"/>
          <w:szCs w:val="24"/>
          <w:highlight w:val="none"/>
          <w:u w:val="single"/>
          <w:lang w:val="en-US" w:eastAsia="zh-CN"/>
        </w:rPr>
        <w:t>XXXX</w:t>
      </w:r>
      <w:r>
        <w:rPr>
          <w:rFonts w:hint="eastAsia" w:ascii="仿宋" w:hAnsi="仿宋" w:eastAsia="仿宋" w:cs="仿宋"/>
          <w:sz w:val="24"/>
          <w:szCs w:val="24"/>
          <w:highlight w:val="none"/>
          <w:lang w:eastAsia="zh-CN"/>
        </w:rPr>
        <w:t>采购</w:t>
      </w:r>
      <w:r>
        <w:rPr>
          <w:rFonts w:hint="eastAsia" w:ascii="仿宋" w:hAnsi="仿宋" w:eastAsia="仿宋" w:cs="仿宋"/>
          <w:sz w:val="24"/>
          <w:szCs w:val="24"/>
          <w:highlight w:val="none"/>
        </w:rPr>
        <w:t>项目的投标，在此我公司承诺：</w:t>
      </w:r>
    </w:p>
    <w:p>
      <w:pPr>
        <w:pStyle w:val="6"/>
        <w:pageBreakBefore w:val="0"/>
        <w:numPr>
          <w:ilvl w:val="0"/>
          <w:numId w:val="2"/>
        </w:numPr>
        <w:kinsoku/>
        <w:wordWrap/>
        <w:overflowPunct/>
        <w:topLinePunct w:val="0"/>
        <w:bidi w:val="0"/>
        <w:adjustRightInd/>
        <w:snapToGrid/>
        <w:spacing w:line="400" w:lineRule="exact"/>
        <w:ind w:left="0" w:leftChars="0" w:right="0" w:rightChars="0" w:firstLine="555"/>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根据贵单位（南通</w:t>
      </w:r>
      <w:r>
        <w:rPr>
          <w:rFonts w:hint="eastAsia" w:ascii="仿宋" w:hAnsi="仿宋" w:eastAsia="仿宋" w:cs="仿宋"/>
          <w:sz w:val="24"/>
          <w:szCs w:val="24"/>
          <w:highlight w:val="none"/>
          <w:lang w:eastAsia="zh-CN"/>
        </w:rPr>
        <w:t>机场集团</w:t>
      </w:r>
      <w:r>
        <w:rPr>
          <w:rFonts w:hint="eastAsia" w:ascii="仿宋" w:hAnsi="仿宋" w:eastAsia="仿宋" w:cs="仿宋"/>
          <w:sz w:val="24"/>
          <w:szCs w:val="24"/>
          <w:highlight w:val="none"/>
        </w:rPr>
        <w:t>有限公司）提出的资格审查合格条件标准和要求</w:t>
      </w:r>
      <w:r>
        <w:rPr>
          <w:rFonts w:hint="eastAsia" w:ascii="仿宋" w:hAnsi="仿宋" w:eastAsia="仿宋" w:cs="仿宋"/>
          <w:sz w:val="24"/>
          <w:szCs w:val="24"/>
          <w:highlight w:val="none"/>
          <w:lang w:eastAsia="zh-CN"/>
        </w:rPr>
        <w:t>；</w:t>
      </w:r>
    </w:p>
    <w:p>
      <w:pPr>
        <w:pStyle w:val="6"/>
        <w:pageBreakBefore w:val="0"/>
        <w:numPr>
          <w:ilvl w:val="0"/>
          <w:numId w:val="2"/>
        </w:numPr>
        <w:kinsoku/>
        <w:wordWrap/>
        <w:overflowPunct/>
        <w:topLinePunct w:val="0"/>
        <w:bidi w:val="0"/>
        <w:adjustRightInd/>
        <w:snapToGrid/>
        <w:spacing w:line="400" w:lineRule="exact"/>
        <w:ind w:left="0" w:leftChars="0" w:right="0" w:rightChars="0" w:firstLine="555"/>
        <w:rPr>
          <w:rFonts w:hint="eastAsia" w:ascii="仿宋" w:hAnsi="仿宋" w:eastAsia="仿宋" w:cs="仿宋"/>
          <w:sz w:val="24"/>
          <w:szCs w:val="24"/>
          <w:highlight w:val="none"/>
        </w:rPr>
      </w:pPr>
      <w:r>
        <w:rPr>
          <w:rFonts w:hint="eastAsia" w:ascii="仿宋" w:hAnsi="仿宋" w:eastAsia="仿宋" w:cs="仿宋"/>
          <w:sz w:val="24"/>
          <w:szCs w:val="24"/>
          <w:highlight w:val="none"/>
        </w:rPr>
        <w:t>本公司企业财务和经营状况良好，具备履行合同能力</w:t>
      </w:r>
      <w:r>
        <w:rPr>
          <w:rFonts w:hint="eastAsia" w:ascii="仿宋" w:hAnsi="仿宋" w:eastAsia="仿宋" w:cs="仿宋"/>
          <w:sz w:val="24"/>
          <w:szCs w:val="24"/>
          <w:highlight w:val="none"/>
          <w:lang w:eastAsia="zh-CN"/>
        </w:rPr>
        <w:t>；</w:t>
      </w:r>
    </w:p>
    <w:p>
      <w:pPr>
        <w:pStyle w:val="6"/>
        <w:pageBreakBefore w:val="0"/>
        <w:numPr>
          <w:ilvl w:val="0"/>
          <w:numId w:val="2"/>
        </w:numPr>
        <w:kinsoku/>
        <w:wordWrap/>
        <w:overflowPunct/>
        <w:topLinePunct w:val="0"/>
        <w:bidi w:val="0"/>
        <w:adjustRightInd/>
        <w:snapToGrid/>
        <w:spacing w:line="400" w:lineRule="exact"/>
        <w:ind w:left="0" w:leftChars="0" w:right="0" w:rightChars="0" w:firstLine="555"/>
        <w:rPr>
          <w:rFonts w:hint="eastAsia" w:ascii="仿宋" w:hAnsi="仿宋" w:eastAsia="仿宋" w:cs="仿宋"/>
          <w:sz w:val="24"/>
          <w:szCs w:val="24"/>
          <w:highlight w:val="none"/>
        </w:rPr>
      </w:pPr>
      <w:r>
        <w:rPr>
          <w:rFonts w:hint="eastAsia" w:ascii="仿宋" w:hAnsi="仿宋" w:eastAsia="仿宋" w:cs="仿宋"/>
          <w:sz w:val="24"/>
          <w:szCs w:val="24"/>
          <w:highlight w:val="none"/>
        </w:rPr>
        <w:t>近三年内无不良经营行为，未处于被责令停业，投标资格被取消或者财产被接管，冻结和破产状态；</w:t>
      </w:r>
    </w:p>
    <w:p>
      <w:pPr>
        <w:pStyle w:val="6"/>
        <w:pageBreakBefore w:val="0"/>
        <w:numPr>
          <w:ilvl w:val="0"/>
          <w:numId w:val="2"/>
        </w:numPr>
        <w:kinsoku/>
        <w:wordWrap/>
        <w:overflowPunct/>
        <w:topLinePunct w:val="0"/>
        <w:bidi w:val="0"/>
        <w:adjustRightInd/>
        <w:snapToGrid/>
        <w:spacing w:line="400" w:lineRule="exact"/>
        <w:ind w:left="0" w:leftChars="0" w:right="0" w:rightChars="0" w:firstLine="555"/>
        <w:rPr>
          <w:rFonts w:hint="eastAsia" w:ascii="仿宋" w:hAnsi="仿宋" w:eastAsia="仿宋" w:cs="仿宋"/>
          <w:sz w:val="24"/>
          <w:szCs w:val="24"/>
          <w:highlight w:val="none"/>
        </w:rPr>
      </w:pPr>
      <w:r>
        <w:rPr>
          <w:rFonts w:hint="eastAsia" w:ascii="仿宋" w:hAnsi="仿宋" w:eastAsia="仿宋" w:cs="仿宋"/>
          <w:sz w:val="24"/>
          <w:szCs w:val="24"/>
          <w:highlight w:val="none"/>
        </w:rPr>
        <w:t>没有因骗取中标或者严重违约以及发生重大质量、安全生产事故等问题，被有关部门暂停投标资格并在暂停期内的</w:t>
      </w:r>
      <w:r>
        <w:rPr>
          <w:rFonts w:hint="eastAsia" w:ascii="仿宋" w:hAnsi="仿宋" w:eastAsia="仿宋" w:cs="仿宋"/>
          <w:sz w:val="24"/>
          <w:szCs w:val="24"/>
          <w:highlight w:val="none"/>
          <w:lang w:eastAsia="zh-CN"/>
        </w:rPr>
        <w:t>；</w:t>
      </w:r>
    </w:p>
    <w:p>
      <w:pPr>
        <w:pStyle w:val="6"/>
        <w:pageBreakBefore w:val="0"/>
        <w:numPr>
          <w:ilvl w:val="0"/>
          <w:numId w:val="2"/>
        </w:numPr>
        <w:kinsoku/>
        <w:wordWrap/>
        <w:overflowPunct/>
        <w:topLinePunct w:val="0"/>
        <w:bidi w:val="0"/>
        <w:adjustRightInd/>
        <w:snapToGrid/>
        <w:spacing w:line="400" w:lineRule="exact"/>
        <w:ind w:left="0" w:leftChars="0" w:right="0" w:rightChars="0" w:firstLine="555"/>
        <w:rPr>
          <w:rFonts w:hint="eastAsia" w:ascii="仿宋" w:hAnsi="仿宋" w:eastAsia="仿宋" w:cs="仿宋"/>
          <w:sz w:val="24"/>
          <w:szCs w:val="24"/>
          <w:highlight w:val="none"/>
        </w:rPr>
      </w:pPr>
      <w:r>
        <w:rPr>
          <w:rFonts w:hint="eastAsia" w:ascii="仿宋" w:hAnsi="仿宋" w:eastAsia="仿宋" w:cs="仿宋"/>
          <w:sz w:val="24"/>
          <w:szCs w:val="24"/>
          <w:highlight w:val="none"/>
        </w:rPr>
        <w:t>未被“信用中国”等</w:t>
      </w:r>
      <w:r>
        <w:rPr>
          <w:rFonts w:hint="eastAsia" w:ascii="仿宋" w:hAnsi="仿宋" w:eastAsia="仿宋" w:cs="仿宋"/>
          <w:sz w:val="24"/>
          <w:szCs w:val="24"/>
          <w:highlight w:val="none"/>
          <w:lang w:eastAsia="zh-CN"/>
        </w:rPr>
        <w:t>媒体</w:t>
      </w:r>
      <w:r>
        <w:rPr>
          <w:rFonts w:hint="eastAsia" w:ascii="仿宋" w:hAnsi="仿宋" w:eastAsia="仿宋" w:cs="仿宋"/>
          <w:sz w:val="24"/>
          <w:szCs w:val="24"/>
          <w:highlight w:val="none"/>
        </w:rPr>
        <w:t>列入失信被执行人、企业经营异常名录、重大税收违法案件当事人名单、政府采购严重违法失信名单、没有因违反招投标规定被行政处罚且在公示期内</w:t>
      </w:r>
      <w:r>
        <w:rPr>
          <w:rFonts w:hint="eastAsia" w:ascii="仿宋" w:hAnsi="仿宋" w:eastAsia="仿宋" w:cs="仿宋"/>
          <w:sz w:val="24"/>
          <w:szCs w:val="24"/>
          <w:highlight w:val="none"/>
          <w:lang w:eastAsia="zh-CN"/>
        </w:rPr>
        <w:t>；</w:t>
      </w:r>
    </w:p>
    <w:p>
      <w:pPr>
        <w:pStyle w:val="6"/>
        <w:pageBreakBefore w:val="0"/>
        <w:numPr>
          <w:ilvl w:val="0"/>
          <w:numId w:val="2"/>
        </w:numPr>
        <w:kinsoku/>
        <w:wordWrap/>
        <w:overflowPunct/>
        <w:topLinePunct w:val="0"/>
        <w:bidi w:val="0"/>
        <w:adjustRightInd/>
        <w:snapToGrid/>
        <w:spacing w:line="400" w:lineRule="exact"/>
        <w:ind w:left="0" w:leftChars="0" w:right="0" w:rightChars="0" w:firstLine="555"/>
        <w:rPr>
          <w:rFonts w:hint="eastAsia" w:ascii="仿宋" w:hAnsi="仿宋" w:eastAsia="仿宋" w:cs="仿宋"/>
          <w:sz w:val="24"/>
          <w:szCs w:val="24"/>
          <w:highlight w:val="none"/>
        </w:rPr>
      </w:pPr>
      <w:r>
        <w:rPr>
          <w:rFonts w:hint="eastAsia" w:ascii="仿宋" w:hAnsi="仿宋" w:eastAsia="仿宋" w:cs="仿宋"/>
          <w:sz w:val="24"/>
          <w:szCs w:val="24"/>
          <w:highlight w:val="none"/>
        </w:rPr>
        <w:t>本公司递交的</w:t>
      </w:r>
      <w:r>
        <w:rPr>
          <w:rFonts w:hint="eastAsia" w:ascii="仿宋" w:hAnsi="仿宋" w:eastAsia="仿宋" w:cs="仿宋"/>
          <w:sz w:val="24"/>
          <w:szCs w:val="24"/>
          <w:highlight w:val="none"/>
          <w:lang w:eastAsia="zh-CN"/>
        </w:rPr>
        <w:t>响应文件</w:t>
      </w:r>
      <w:r>
        <w:rPr>
          <w:rFonts w:hint="eastAsia" w:ascii="仿宋" w:hAnsi="仿宋" w:eastAsia="仿宋" w:cs="仿宋"/>
          <w:sz w:val="24"/>
          <w:szCs w:val="24"/>
          <w:highlight w:val="none"/>
        </w:rPr>
        <w:t>中的内容没有隐瞒、虚假、伪造等弄虚作假行为。</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发现我公司有以上行为，贵公司可以拒绝我公司投标，如已中标，可取消我公司中标资格，并接受行政主管部门对我公司弄虚作假、违反公平和诚实信用原则做出的任何处理。</w:t>
      </w:r>
    </w:p>
    <w:p>
      <w:pPr>
        <w:autoSpaceDE w:val="0"/>
        <w:autoSpaceDN w:val="0"/>
        <w:spacing w:line="360" w:lineRule="auto"/>
        <w:ind w:firstLine="480" w:firstLineChars="200"/>
        <w:rPr>
          <w:rFonts w:hint="eastAsia" w:ascii="仿宋" w:hAnsi="仿宋" w:eastAsia="仿宋" w:cs="仿宋"/>
          <w:color w:val="auto"/>
          <w:kern w:val="0"/>
          <w:sz w:val="24"/>
          <w:szCs w:val="24"/>
          <w:highlight w:val="none"/>
        </w:rPr>
      </w:pPr>
    </w:p>
    <w:p>
      <w:pPr>
        <w:autoSpaceDE w:val="0"/>
        <w:autoSpaceDN w:val="0"/>
        <w:spacing w:line="360" w:lineRule="auto"/>
        <w:ind w:firstLine="480" w:firstLineChars="200"/>
        <w:rPr>
          <w:rFonts w:hint="eastAsia" w:ascii="仿宋" w:hAnsi="仿宋" w:eastAsia="仿宋" w:cs="仿宋"/>
          <w:color w:val="auto"/>
          <w:kern w:val="0"/>
          <w:sz w:val="24"/>
          <w:szCs w:val="24"/>
          <w:highlight w:val="none"/>
        </w:rPr>
      </w:pPr>
    </w:p>
    <w:p>
      <w:pPr>
        <w:autoSpaceDE w:val="0"/>
        <w:autoSpaceDN w:val="0"/>
        <w:spacing w:line="360" w:lineRule="auto"/>
        <w:ind w:firstLine="480" w:firstLineChars="200"/>
        <w:rPr>
          <w:rFonts w:hint="eastAsia" w:ascii="仿宋" w:hAnsi="仿宋" w:eastAsia="仿宋" w:cs="仿宋"/>
          <w:color w:val="auto"/>
          <w:kern w:val="0"/>
          <w:sz w:val="24"/>
          <w:szCs w:val="24"/>
          <w:highlight w:val="none"/>
        </w:rPr>
      </w:pPr>
    </w:p>
    <w:p>
      <w:pPr>
        <w:autoSpaceDE w:val="0"/>
        <w:autoSpaceDN w:val="0"/>
        <w:spacing w:line="360" w:lineRule="auto"/>
        <w:ind w:firstLine="480" w:firstLineChars="200"/>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投标人名称（盖章）：</w:t>
      </w:r>
    </w:p>
    <w:p>
      <w:pPr>
        <w:autoSpaceDE w:val="0"/>
        <w:autoSpaceDN w:val="0"/>
        <w:spacing w:line="360" w:lineRule="auto"/>
        <w:ind w:firstLine="480" w:firstLineChars="200"/>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法定代表人或授权代表签字：</w:t>
      </w:r>
    </w:p>
    <w:p>
      <w:pPr>
        <w:autoSpaceDE w:val="0"/>
        <w:autoSpaceDN w:val="0"/>
        <w:spacing w:line="360" w:lineRule="auto"/>
        <w:ind w:firstLine="480" w:firstLineChars="200"/>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日期：</w:t>
      </w:r>
    </w:p>
    <w:p>
      <w:pPr>
        <w:autoSpaceDE w:val="0"/>
        <w:autoSpaceDN w:val="0"/>
        <w:spacing w:line="360" w:lineRule="auto"/>
        <w:ind w:firstLine="480" w:firstLineChars="200"/>
        <w:textAlignment w:val="bottom"/>
        <w:rPr>
          <w:rFonts w:hint="eastAsia" w:ascii="仿宋" w:hAnsi="仿宋" w:eastAsia="仿宋" w:cs="仿宋"/>
          <w:color w:val="auto"/>
          <w:sz w:val="24"/>
          <w:szCs w:val="24"/>
          <w:highlight w:val="none"/>
        </w:rPr>
      </w:pPr>
    </w:p>
    <w:p>
      <w:pPr>
        <w:pStyle w:val="2"/>
        <w:spacing w:before="0" w:after="0" w:line="360" w:lineRule="auto"/>
        <w:jc w:val="left"/>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附件</w:t>
      </w:r>
      <w:r>
        <w:rPr>
          <w:rFonts w:hint="eastAsia" w:ascii="仿宋" w:hAnsi="仿宋" w:eastAsia="仿宋" w:cs="仿宋"/>
          <w:b/>
          <w:bCs/>
          <w:color w:val="auto"/>
          <w:sz w:val="28"/>
          <w:szCs w:val="28"/>
          <w:highlight w:val="none"/>
          <w:lang w:eastAsia="zh-CN"/>
        </w:rPr>
        <w:t>六</w:t>
      </w:r>
      <w:r>
        <w:rPr>
          <w:rFonts w:hint="eastAsia" w:ascii="仿宋" w:hAnsi="仿宋" w:eastAsia="仿宋" w:cs="仿宋"/>
          <w:b/>
          <w:bCs/>
          <w:color w:val="auto"/>
          <w:sz w:val="28"/>
          <w:szCs w:val="28"/>
          <w:highlight w:val="none"/>
        </w:rPr>
        <w:t>：技术参数偏离表</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技术参数偏离表</w:t>
      </w:r>
    </w:p>
    <w:p>
      <w:pPr>
        <w:spacing w:line="360" w:lineRule="auto"/>
        <w:ind w:firstLine="420" w:firstLineChars="200"/>
        <w:rPr>
          <w:rFonts w:ascii="宋体"/>
          <w:color w:val="auto"/>
          <w:szCs w:val="21"/>
          <w:highlight w:val="none"/>
        </w:rPr>
      </w:pPr>
      <w:r>
        <w:rPr>
          <w:rFonts w:hint="eastAsia" w:ascii="宋体" w:hAnsi="宋体"/>
          <w:color w:val="auto"/>
          <w:szCs w:val="21"/>
          <w:highlight w:val="none"/>
        </w:rPr>
        <w:t>（须与采购文件点对点应答）</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color w:val="auto"/>
          <w:szCs w:val="21"/>
          <w:highlight w:val="none"/>
        </w:rPr>
      </w:pPr>
      <w:r>
        <w:rPr>
          <w:rFonts w:hint="eastAsia" w:ascii="宋体" w:hAnsi="宋体"/>
          <w:color w:val="auto"/>
          <w:szCs w:val="21"/>
          <w:highlight w:val="none"/>
        </w:rPr>
        <w:t>采购文件编号：标段号（如果有的话）：</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741"/>
        <w:gridCol w:w="1756"/>
        <w:gridCol w:w="1890"/>
        <w:gridCol w:w="193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color w:val="auto"/>
                <w:szCs w:val="21"/>
                <w:highlight w:val="none"/>
              </w:rPr>
            </w:pPr>
            <w:r>
              <w:rPr>
                <w:rFonts w:hint="eastAsia" w:ascii="宋体" w:hAnsi="宋体"/>
                <w:color w:val="auto"/>
                <w:szCs w:val="21"/>
                <w:highlight w:val="none"/>
              </w:rPr>
              <w:t>序号</w:t>
            </w:r>
          </w:p>
        </w:tc>
        <w:tc>
          <w:tcPr>
            <w:tcW w:w="17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color w:val="auto"/>
                <w:szCs w:val="21"/>
                <w:highlight w:val="none"/>
              </w:rPr>
            </w:pPr>
            <w:r>
              <w:rPr>
                <w:rFonts w:hint="eastAsia" w:ascii="宋体" w:hAnsi="宋体"/>
                <w:color w:val="auto"/>
                <w:szCs w:val="21"/>
                <w:highlight w:val="none"/>
              </w:rPr>
              <w:t>货物名称</w:t>
            </w:r>
          </w:p>
        </w:tc>
        <w:tc>
          <w:tcPr>
            <w:tcW w:w="17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color w:val="auto"/>
                <w:szCs w:val="21"/>
                <w:highlight w:val="none"/>
              </w:rPr>
            </w:pPr>
            <w:r>
              <w:rPr>
                <w:rFonts w:hint="eastAsia" w:ascii="宋体" w:hAnsi="宋体"/>
                <w:color w:val="auto"/>
                <w:szCs w:val="21"/>
                <w:highlight w:val="none"/>
              </w:rPr>
              <w:t>采购文件条目号</w:t>
            </w: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color w:val="auto"/>
                <w:szCs w:val="21"/>
                <w:highlight w:val="none"/>
              </w:rPr>
            </w:pPr>
            <w:r>
              <w:rPr>
                <w:rFonts w:hint="eastAsia" w:ascii="宋体" w:hAnsi="宋体"/>
                <w:color w:val="auto"/>
                <w:szCs w:val="21"/>
                <w:highlight w:val="none"/>
              </w:rPr>
              <w:t>招标技术规格</w:t>
            </w:r>
          </w:p>
        </w:tc>
        <w:tc>
          <w:tcPr>
            <w:tcW w:w="19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color w:val="auto"/>
                <w:szCs w:val="21"/>
                <w:highlight w:val="none"/>
              </w:rPr>
            </w:pPr>
            <w:r>
              <w:rPr>
                <w:rFonts w:hint="eastAsia" w:ascii="宋体" w:hAnsi="宋体"/>
                <w:color w:val="auto"/>
                <w:szCs w:val="21"/>
                <w:highlight w:val="none"/>
              </w:rPr>
              <w:t>投标技术规格</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color w:val="auto"/>
                <w:szCs w:val="21"/>
                <w:highlight w:val="none"/>
              </w:rPr>
            </w:pPr>
            <w:r>
              <w:rPr>
                <w:rFonts w:hint="eastAsia" w:ascii="宋体" w:hAnsi="宋体"/>
                <w:color w:val="auto"/>
                <w:szCs w:val="21"/>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4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color w:val="auto"/>
                <w:szCs w:val="21"/>
                <w:highlight w:val="none"/>
              </w:rPr>
            </w:pPr>
          </w:p>
        </w:tc>
        <w:tc>
          <w:tcPr>
            <w:tcW w:w="174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color w:val="auto"/>
                <w:szCs w:val="21"/>
                <w:highlight w:val="none"/>
              </w:rPr>
            </w:pPr>
          </w:p>
        </w:tc>
        <w:tc>
          <w:tcPr>
            <w:tcW w:w="17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宋体" w:eastAsia="宋体"/>
                <w:color w:val="auto"/>
                <w:szCs w:val="21"/>
                <w:highlight w:val="none"/>
                <w:lang w:val="en-US" w:eastAsia="zh-CN"/>
              </w:rPr>
            </w:pPr>
            <w:r>
              <w:rPr>
                <w:rFonts w:hint="eastAsia" w:ascii="宋体"/>
                <w:color w:val="auto"/>
                <w:szCs w:val="21"/>
                <w:highlight w:val="none"/>
              </w:rPr>
              <w:t>第三章 项目需求</w:t>
            </w:r>
            <w:r>
              <w:rPr>
                <w:rFonts w:hint="eastAsia" w:ascii="宋体"/>
                <w:color w:val="auto"/>
                <w:szCs w:val="21"/>
                <w:highlight w:val="none"/>
                <w:lang w:val="en-US" w:eastAsia="zh-CN"/>
              </w:rPr>
              <w:t xml:space="preserve"> 二、技术要求</w:t>
            </w:r>
          </w:p>
        </w:tc>
        <w:tc>
          <w:tcPr>
            <w:tcW w:w="189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color w:val="auto"/>
                <w:szCs w:val="21"/>
                <w:highlight w:val="none"/>
              </w:rPr>
            </w:pPr>
          </w:p>
        </w:tc>
        <w:tc>
          <w:tcPr>
            <w:tcW w:w="193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color w:val="auto"/>
                <w:szCs w:val="21"/>
                <w:highlight w:val="none"/>
              </w:rPr>
            </w:pPr>
          </w:p>
        </w:tc>
        <w:tc>
          <w:tcPr>
            <w:tcW w:w="168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4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color w:val="auto"/>
                <w:szCs w:val="21"/>
                <w:highlight w:val="none"/>
              </w:rPr>
            </w:pPr>
          </w:p>
        </w:tc>
        <w:tc>
          <w:tcPr>
            <w:tcW w:w="174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color w:val="auto"/>
                <w:szCs w:val="21"/>
                <w:highlight w:val="none"/>
              </w:rPr>
            </w:pPr>
          </w:p>
        </w:tc>
        <w:tc>
          <w:tcPr>
            <w:tcW w:w="17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宋体" w:eastAsia="宋体"/>
                <w:color w:val="auto"/>
                <w:szCs w:val="21"/>
                <w:highlight w:val="none"/>
                <w:lang w:val="en-US" w:eastAsia="zh-CN"/>
              </w:rPr>
            </w:pPr>
            <w:r>
              <w:rPr>
                <w:rFonts w:hint="eastAsia" w:ascii="宋体"/>
                <w:color w:val="auto"/>
                <w:szCs w:val="21"/>
                <w:highlight w:val="none"/>
                <w:lang w:val="en-US" w:eastAsia="zh-CN"/>
              </w:rPr>
              <w:t>.....</w:t>
            </w:r>
          </w:p>
        </w:tc>
        <w:tc>
          <w:tcPr>
            <w:tcW w:w="189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color w:val="auto"/>
                <w:szCs w:val="21"/>
                <w:highlight w:val="none"/>
              </w:rPr>
            </w:pPr>
          </w:p>
        </w:tc>
        <w:tc>
          <w:tcPr>
            <w:tcW w:w="193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color w:val="auto"/>
                <w:szCs w:val="21"/>
                <w:highlight w:val="none"/>
              </w:rPr>
            </w:pPr>
          </w:p>
        </w:tc>
        <w:tc>
          <w:tcPr>
            <w:tcW w:w="168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color w:val="auto"/>
                <w:szCs w:val="21"/>
                <w:highlight w:val="none"/>
              </w:rPr>
            </w:pPr>
          </w:p>
        </w:tc>
      </w:tr>
    </w:tbl>
    <w:p>
      <w:pPr>
        <w:spacing w:line="360" w:lineRule="auto"/>
        <w:ind w:firstLine="420" w:firstLineChars="200"/>
        <w:rPr>
          <w:rFonts w:ascii="宋体"/>
          <w:color w:val="auto"/>
          <w:szCs w:val="21"/>
          <w:highlight w:val="none"/>
        </w:rPr>
      </w:pP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响应供应商（盖章）：</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highlight w:val="none"/>
        </w:rPr>
        <w:t>法定代表人或授权代表签字：</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日期：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注：1、对采购文件的技术要求须逐条作出响应，而不应以“全部符合”等字样来响应；</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2、偏离情况栏内填写“正偏离”或“负偏离”或“无偏离”；</w:t>
      </w:r>
    </w:p>
    <w:p>
      <w:pPr>
        <w:pStyle w:val="2"/>
        <w:spacing w:before="0" w:after="0" w:line="360" w:lineRule="auto"/>
        <w:ind w:firstLine="562"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附件</w:t>
      </w:r>
      <w:r>
        <w:rPr>
          <w:rFonts w:hint="eastAsia" w:ascii="仿宋" w:hAnsi="仿宋" w:eastAsia="仿宋" w:cs="仿宋"/>
          <w:color w:val="auto"/>
          <w:sz w:val="28"/>
          <w:szCs w:val="28"/>
          <w:highlight w:val="none"/>
          <w:lang w:eastAsia="zh-CN"/>
        </w:rPr>
        <w:t>七</w:t>
      </w:r>
      <w:r>
        <w:rPr>
          <w:rFonts w:hint="eastAsia" w:ascii="仿宋" w:hAnsi="仿宋" w:eastAsia="仿宋" w:cs="仿宋"/>
          <w:color w:val="auto"/>
          <w:sz w:val="28"/>
          <w:szCs w:val="28"/>
          <w:highlight w:val="none"/>
        </w:rPr>
        <w:t>：商务条款偏离表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cs="宋体"/>
          <w:b/>
          <w:bCs/>
          <w:color w:val="auto"/>
          <w:sz w:val="36"/>
          <w:szCs w:val="36"/>
          <w:highlight w:val="none"/>
        </w:rPr>
      </w:pPr>
      <w:r>
        <w:rPr>
          <w:rFonts w:hint="eastAsia" w:ascii="宋体" w:hAnsi="宋体" w:cs="宋体"/>
          <w:b/>
          <w:bCs/>
          <w:color w:val="auto"/>
          <w:sz w:val="36"/>
          <w:szCs w:val="36"/>
          <w:highlight w:val="none"/>
        </w:rPr>
        <w:t>商务条款偏离表</w:t>
      </w:r>
    </w:p>
    <w:p>
      <w:pPr>
        <w:spacing w:line="360" w:lineRule="auto"/>
        <w:ind w:firstLine="420" w:firstLineChars="200"/>
        <w:rPr>
          <w:rFonts w:ascii="宋体"/>
          <w:color w:val="auto"/>
          <w:highlight w:val="none"/>
        </w:rPr>
      </w:pPr>
    </w:p>
    <w:p>
      <w:pPr>
        <w:spacing w:line="360" w:lineRule="auto"/>
        <w:ind w:firstLine="420" w:firstLineChars="200"/>
        <w:rPr>
          <w:rFonts w:ascii="宋体"/>
          <w:color w:val="auto"/>
          <w:szCs w:val="21"/>
          <w:highlight w:val="none"/>
        </w:rPr>
      </w:pPr>
      <w:r>
        <w:rPr>
          <w:rFonts w:hint="eastAsia" w:ascii="宋体" w:hAnsi="宋体"/>
          <w:color w:val="auto"/>
          <w:szCs w:val="21"/>
          <w:highlight w:val="none"/>
        </w:rPr>
        <w:t>采购文件编号：标段号（如果有的话）：</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444"/>
        <w:gridCol w:w="2739"/>
        <w:gridCol w:w="2835"/>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noWrap w:val="0"/>
            <w:vAlign w:val="center"/>
          </w:tcPr>
          <w:p>
            <w:pPr>
              <w:spacing w:line="360" w:lineRule="auto"/>
              <w:jc w:val="both"/>
              <w:rPr>
                <w:rFonts w:hint="eastAsia" w:ascii="宋体" w:hAnsi="宋体" w:cs="宋体"/>
                <w:color w:val="auto"/>
                <w:szCs w:val="21"/>
                <w:highlight w:val="none"/>
              </w:rPr>
            </w:pPr>
            <w:r>
              <w:rPr>
                <w:rFonts w:hint="eastAsia" w:ascii="宋体" w:hAnsi="宋体" w:cs="宋体"/>
                <w:color w:val="auto"/>
                <w:szCs w:val="21"/>
                <w:highlight w:val="none"/>
              </w:rPr>
              <w:t>序号</w:t>
            </w:r>
          </w:p>
        </w:tc>
        <w:tc>
          <w:tcPr>
            <w:tcW w:w="1444" w:type="dxa"/>
            <w:noWrap w:val="0"/>
            <w:vAlign w:val="bottom"/>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采购文件</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条目号</w:t>
            </w:r>
          </w:p>
        </w:tc>
        <w:tc>
          <w:tcPr>
            <w:tcW w:w="2739" w:type="dxa"/>
            <w:noWrap w:val="0"/>
            <w:vAlign w:val="bottom"/>
          </w:tcPr>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采购文件的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商务条款</w:t>
            </w:r>
          </w:p>
        </w:tc>
        <w:tc>
          <w:tcPr>
            <w:tcW w:w="2835" w:type="dxa"/>
            <w:noWrap w:val="0"/>
            <w:vAlign w:val="bottom"/>
          </w:tcPr>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响应文件的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商务条款</w:t>
            </w:r>
          </w:p>
        </w:tc>
        <w:tc>
          <w:tcPr>
            <w:tcW w:w="1530" w:type="dxa"/>
            <w:noWrap w:val="0"/>
            <w:vAlign w:val="center"/>
          </w:tcPr>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956" w:type="dxa"/>
            <w:noWrap w:val="0"/>
            <w:vAlign w:val="top"/>
          </w:tcPr>
          <w:p>
            <w:pPr>
              <w:spacing w:line="360" w:lineRule="auto"/>
              <w:ind w:firstLine="420" w:firstLineChars="200"/>
              <w:rPr>
                <w:rFonts w:ascii="宋体"/>
                <w:color w:val="auto"/>
                <w:szCs w:val="21"/>
                <w:highlight w:val="none"/>
              </w:rPr>
            </w:pPr>
          </w:p>
        </w:tc>
        <w:tc>
          <w:tcPr>
            <w:tcW w:w="1444" w:type="dxa"/>
            <w:noWrap w:val="0"/>
            <w:vAlign w:val="top"/>
          </w:tcPr>
          <w:p>
            <w:pPr>
              <w:spacing w:line="360" w:lineRule="auto"/>
              <w:ind w:firstLine="420" w:firstLineChars="200"/>
              <w:rPr>
                <w:rFonts w:ascii="宋体"/>
                <w:color w:val="auto"/>
                <w:szCs w:val="21"/>
                <w:highlight w:val="none"/>
              </w:rPr>
            </w:pPr>
          </w:p>
        </w:tc>
        <w:tc>
          <w:tcPr>
            <w:tcW w:w="2739"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color w:val="auto"/>
                <w:szCs w:val="21"/>
                <w:highlight w:val="none"/>
              </w:rPr>
            </w:pPr>
            <w:r>
              <w:rPr>
                <w:rFonts w:hint="eastAsia" w:ascii="宋体"/>
                <w:color w:val="auto"/>
                <w:szCs w:val="21"/>
                <w:highlight w:val="none"/>
              </w:rPr>
              <w:t>第三章 项目需求</w:t>
            </w:r>
            <w:r>
              <w:rPr>
                <w:rFonts w:hint="eastAsia" w:ascii="宋体"/>
                <w:color w:val="auto"/>
                <w:szCs w:val="21"/>
                <w:highlight w:val="none"/>
                <w:lang w:val="en-US" w:eastAsia="zh-CN"/>
              </w:rPr>
              <w:t xml:space="preserve"> 三、商务要求</w:t>
            </w:r>
          </w:p>
        </w:tc>
        <w:tc>
          <w:tcPr>
            <w:tcW w:w="2835" w:type="dxa"/>
            <w:noWrap w:val="0"/>
            <w:vAlign w:val="top"/>
          </w:tcPr>
          <w:p>
            <w:pPr>
              <w:spacing w:line="360" w:lineRule="auto"/>
              <w:ind w:firstLine="420" w:firstLineChars="200"/>
              <w:rPr>
                <w:rFonts w:ascii="宋体"/>
                <w:color w:val="auto"/>
                <w:szCs w:val="21"/>
                <w:highlight w:val="none"/>
              </w:rPr>
            </w:pPr>
          </w:p>
        </w:tc>
        <w:tc>
          <w:tcPr>
            <w:tcW w:w="1530" w:type="dxa"/>
            <w:noWrap w:val="0"/>
            <w:vAlign w:val="top"/>
          </w:tcPr>
          <w:p>
            <w:pPr>
              <w:spacing w:line="360" w:lineRule="auto"/>
              <w:ind w:firstLine="420" w:firstLineChars="200"/>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56" w:type="dxa"/>
            <w:noWrap w:val="0"/>
            <w:vAlign w:val="top"/>
          </w:tcPr>
          <w:p>
            <w:pPr>
              <w:spacing w:line="360" w:lineRule="auto"/>
              <w:ind w:firstLine="420" w:firstLineChars="200"/>
              <w:rPr>
                <w:rFonts w:ascii="宋体"/>
                <w:color w:val="auto"/>
                <w:szCs w:val="21"/>
                <w:highlight w:val="none"/>
              </w:rPr>
            </w:pPr>
          </w:p>
        </w:tc>
        <w:tc>
          <w:tcPr>
            <w:tcW w:w="1444" w:type="dxa"/>
            <w:noWrap w:val="0"/>
            <w:vAlign w:val="top"/>
          </w:tcPr>
          <w:p>
            <w:pPr>
              <w:spacing w:line="360" w:lineRule="auto"/>
              <w:ind w:firstLine="420" w:firstLineChars="200"/>
              <w:rPr>
                <w:rFonts w:ascii="宋体"/>
                <w:color w:val="auto"/>
                <w:szCs w:val="21"/>
                <w:highlight w:val="none"/>
              </w:rPr>
            </w:pPr>
          </w:p>
        </w:tc>
        <w:tc>
          <w:tcPr>
            <w:tcW w:w="2739"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color w:val="auto"/>
                <w:szCs w:val="21"/>
                <w:highlight w:val="none"/>
              </w:rPr>
            </w:pPr>
            <w:r>
              <w:rPr>
                <w:rFonts w:hint="eastAsia" w:ascii="宋体"/>
                <w:color w:val="auto"/>
                <w:szCs w:val="21"/>
                <w:highlight w:val="none"/>
                <w:lang w:val="en-US" w:eastAsia="zh-CN"/>
              </w:rPr>
              <w:t>.....</w:t>
            </w:r>
          </w:p>
        </w:tc>
        <w:tc>
          <w:tcPr>
            <w:tcW w:w="2835" w:type="dxa"/>
            <w:noWrap w:val="0"/>
            <w:vAlign w:val="top"/>
          </w:tcPr>
          <w:p>
            <w:pPr>
              <w:spacing w:line="360" w:lineRule="auto"/>
              <w:ind w:firstLine="420" w:firstLineChars="200"/>
              <w:rPr>
                <w:rFonts w:ascii="宋体"/>
                <w:color w:val="auto"/>
                <w:szCs w:val="21"/>
                <w:highlight w:val="none"/>
              </w:rPr>
            </w:pPr>
          </w:p>
        </w:tc>
        <w:tc>
          <w:tcPr>
            <w:tcW w:w="1530" w:type="dxa"/>
            <w:noWrap w:val="0"/>
            <w:vAlign w:val="top"/>
          </w:tcPr>
          <w:p>
            <w:pPr>
              <w:spacing w:line="360" w:lineRule="auto"/>
              <w:ind w:firstLine="420" w:firstLineChars="200"/>
              <w:rPr>
                <w:rFonts w:ascii="宋体"/>
                <w:color w:val="auto"/>
                <w:szCs w:val="21"/>
                <w:highlight w:val="none"/>
              </w:rPr>
            </w:pPr>
          </w:p>
        </w:tc>
      </w:tr>
    </w:tbl>
    <w:p>
      <w:pPr>
        <w:spacing w:line="360" w:lineRule="auto"/>
        <w:ind w:firstLine="420" w:firstLineChars="200"/>
        <w:rPr>
          <w:rFonts w:ascii="宋体"/>
          <w:color w:val="auto"/>
          <w:szCs w:val="21"/>
          <w:highlight w:val="none"/>
        </w:rPr>
      </w:pP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响应供应商（盖章）：</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法定代表人或授权代表签字：</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日期：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日期：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注：1、对采购文件的</w:t>
      </w:r>
      <w:r>
        <w:rPr>
          <w:rFonts w:hint="eastAsia" w:ascii="宋体" w:hAnsi="宋体" w:cs="宋体"/>
          <w:color w:val="auto"/>
          <w:szCs w:val="21"/>
          <w:highlight w:val="none"/>
          <w:lang w:eastAsia="zh-CN"/>
        </w:rPr>
        <w:t>“</w:t>
      </w:r>
      <w:r>
        <w:rPr>
          <w:rFonts w:hint="eastAsia" w:ascii="宋体"/>
          <w:color w:val="auto"/>
          <w:szCs w:val="21"/>
          <w:highlight w:val="none"/>
        </w:rPr>
        <w:t>第三章 项目需求</w:t>
      </w:r>
      <w:r>
        <w:rPr>
          <w:rFonts w:hint="eastAsia" w:ascii="宋体"/>
          <w:color w:val="auto"/>
          <w:szCs w:val="21"/>
          <w:highlight w:val="none"/>
          <w:lang w:val="en-US" w:eastAsia="zh-CN"/>
        </w:rPr>
        <w:t xml:space="preserve"> 三、商务要求</w:t>
      </w:r>
      <w:r>
        <w:rPr>
          <w:rFonts w:hint="eastAsia" w:ascii="宋体" w:hAnsi="宋体" w:cs="宋体"/>
          <w:color w:val="auto"/>
          <w:szCs w:val="21"/>
          <w:highlight w:val="none"/>
          <w:lang w:eastAsia="zh-CN"/>
        </w:rPr>
        <w:t>”</w:t>
      </w:r>
      <w:r>
        <w:rPr>
          <w:rFonts w:hint="eastAsia" w:ascii="宋体" w:hAnsi="宋体" w:cs="宋体"/>
          <w:color w:val="auto"/>
          <w:szCs w:val="21"/>
          <w:highlight w:val="none"/>
        </w:rPr>
        <w:t>须逐条作出响应，而不应以“全部符合”等字样来响应；偏离情况栏内填写“正偏离”或“负偏离”或“无偏离”。</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2、其他商务偏离也须在上表中逐条列明。</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3、如响应文件不符合上述要求，响应供应商将承担其投标被拒绝的风险。</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其他格式请响应供应商自拟</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0"/>
        <w:rPr>
          <w:rFonts w:hint="eastAsia" w:ascii="宋体" w:hAnsi="宋体" w:eastAsia="宋体" w:cs="宋体"/>
          <w:b/>
          <w:sz w:val="44"/>
          <w:szCs w:val="44"/>
        </w:rPr>
      </w:pPr>
    </w:p>
    <w:p>
      <w:pPr>
        <w:pStyle w:val="2"/>
        <w:rPr>
          <w:rFonts w:hint="eastAsia"/>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eastAsia" w:ascii="宋体" w:hAnsi="宋体" w:eastAsia="宋体" w:cs="宋体"/>
          <w:b/>
          <w:sz w:val="44"/>
          <w:szCs w:val="44"/>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eastAsia" w:ascii="宋体" w:hAnsi="宋体" w:eastAsia="宋体" w:cs="宋体"/>
          <w:b/>
          <w:sz w:val="44"/>
          <w:szCs w:val="44"/>
        </w:rPr>
      </w:pPr>
      <w:r>
        <w:rPr>
          <w:rFonts w:hint="eastAsia" w:ascii="宋体" w:hAnsi="宋体" w:eastAsia="宋体" w:cs="宋体"/>
          <w:b/>
          <w:sz w:val="44"/>
          <w:szCs w:val="44"/>
        </w:rPr>
        <w:t>采购合同书</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eastAsia" w:ascii="宋体" w:hAnsi="宋体"/>
          <w:kern w:val="0"/>
          <w:szCs w:val="21"/>
        </w:rPr>
      </w:pPr>
      <w:r>
        <w:rPr>
          <w:rFonts w:hint="eastAsia" w:ascii="宋体" w:hAnsi="宋体"/>
          <w:kern w:val="0"/>
          <w:szCs w:val="21"/>
          <w:lang w:val="en-US" w:eastAsia="zh-CN"/>
        </w:rPr>
        <w:t xml:space="preserve">                                                         </w:t>
      </w:r>
      <w:r>
        <w:rPr>
          <w:rFonts w:hint="eastAsia" w:ascii="宋体" w:hAnsi="宋体"/>
          <w:kern w:val="0"/>
          <w:szCs w:val="21"/>
          <w:lang w:eastAsia="zh-CN"/>
        </w:rPr>
        <w:t>合同编号：</w:t>
      </w:r>
      <w:r>
        <w:rPr>
          <w:rFonts w:hint="eastAsia" w:ascii="宋体" w:hAnsi="宋体"/>
          <w:kern w:val="0"/>
          <w:sz w:val="21"/>
          <w:szCs w:val="21"/>
          <w:lang w:eastAsia="zh-CN"/>
        </w:rPr>
        <w:t>【</w:t>
      </w:r>
      <w:r>
        <w:rPr>
          <w:rFonts w:hint="eastAsia" w:ascii="宋体" w:hAnsi="宋体"/>
          <w:kern w:val="0"/>
          <w:sz w:val="21"/>
          <w:szCs w:val="21"/>
          <w:lang w:val="en-US" w:eastAsia="zh-CN"/>
        </w:rPr>
        <w:t>同项目编号</w:t>
      </w:r>
      <w:r>
        <w:rPr>
          <w:rFonts w:hint="eastAsia" w:ascii="宋体" w:hAnsi="宋体"/>
          <w:kern w:val="0"/>
          <w:sz w:val="21"/>
          <w:szCs w:val="21"/>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0"/>
        <w:rPr>
          <w:rFonts w:hint="eastAsia" w:ascii="宋体" w:hAnsi="宋体"/>
          <w:kern w:val="0"/>
          <w:szCs w:val="21"/>
          <w:lang w:val="en-US" w:eastAsia="zh-CN"/>
        </w:rPr>
      </w:pPr>
      <w:r>
        <w:rPr>
          <w:rFonts w:hint="eastAsia" w:ascii="宋体" w:hAnsi="宋体"/>
          <w:kern w:val="0"/>
          <w:szCs w:val="21"/>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0"/>
        <w:rPr>
          <w:rFonts w:hint="eastAsia" w:ascii="宋体" w:hAnsi="宋体" w:eastAsia="宋体"/>
          <w:kern w:val="0"/>
          <w:szCs w:val="21"/>
          <w:lang w:eastAsia="zh-CN"/>
        </w:rPr>
      </w:pPr>
      <w:r>
        <w:rPr>
          <w:rFonts w:hint="eastAsia" w:ascii="宋体" w:hAnsi="宋体"/>
          <w:kern w:val="0"/>
          <w:szCs w:val="21"/>
          <w:lang w:eastAsia="zh-CN"/>
        </w:rPr>
        <w:t>签订地点：兴东国际机场</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kern w:val="0"/>
          <w:sz w:val="21"/>
          <w:szCs w:val="21"/>
        </w:rPr>
      </w:pPr>
      <w:r>
        <w:rPr>
          <w:rFonts w:hint="eastAsia" w:ascii="宋体" w:hAnsi="宋体"/>
          <w:kern w:val="0"/>
          <w:sz w:val="21"/>
          <w:szCs w:val="21"/>
        </w:rPr>
        <w:t>甲方（采购方）：</w:t>
      </w:r>
      <w:r>
        <w:rPr>
          <w:rFonts w:hint="eastAsia" w:ascii="宋体" w:hAnsi="宋体"/>
          <w:kern w:val="0"/>
          <w:sz w:val="21"/>
          <w:szCs w:val="21"/>
          <w:lang w:eastAsia="zh-CN"/>
        </w:rPr>
        <w:t>南通机场</w:t>
      </w:r>
      <w:r>
        <w:rPr>
          <w:rFonts w:hint="eastAsia" w:ascii="宋体" w:hAnsi="宋体"/>
          <w:kern w:val="0"/>
          <w:sz w:val="21"/>
          <w:szCs w:val="21"/>
          <w:lang w:val="en-US" w:eastAsia="zh-CN"/>
        </w:rPr>
        <w:t>集团</w:t>
      </w:r>
      <w:r>
        <w:rPr>
          <w:rFonts w:hint="eastAsia" w:ascii="宋体" w:hAnsi="宋体"/>
          <w:kern w:val="0"/>
          <w:sz w:val="21"/>
          <w:szCs w:val="21"/>
          <w:lang w:eastAsia="zh-CN"/>
        </w:rPr>
        <w:t>有限公司</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kern w:val="0"/>
          <w:sz w:val="21"/>
          <w:szCs w:val="21"/>
          <w:lang w:eastAsia="zh-CN"/>
        </w:rPr>
      </w:pPr>
      <w:r>
        <w:rPr>
          <w:rFonts w:hint="eastAsia" w:ascii="宋体" w:hAnsi="宋体"/>
          <w:kern w:val="0"/>
          <w:sz w:val="21"/>
          <w:szCs w:val="21"/>
          <w:lang w:eastAsia="zh-CN"/>
        </w:rPr>
        <w:t>联系</w:t>
      </w:r>
      <w:r>
        <w:rPr>
          <w:rFonts w:hint="eastAsia" w:ascii="宋体" w:hAnsi="宋体"/>
          <w:kern w:val="0"/>
          <w:sz w:val="21"/>
          <w:szCs w:val="21"/>
        </w:rPr>
        <w:t xml:space="preserve">人：  </w:t>
      </w:r>
      <w:r>
        <w:rPr>
          <w:rFonts w:hint="eastAsia" w:ascii="宋体" w:hAnsi="宋体"/>
          <w:kern w:val="0"/>
          <w:sz w:val="21"/>
          <w:szCs w:val="21"/>
          <w:lang w:eastAsia="zh-CN"/>
        </w:rPr>
        <w:t>【</w:t>
      </w:r>
      <w:r>
        <w:rPr>
          <w:rFonts w:hint="eastAsia" w:ascii="宋体" w:hAnsi="宋体"/>
          <w:kern w:val="0"/>
          <w:sz w:val="21"/>
          <w:szCs w:val="21"/>
          <w:lang w:val="en-US" w:eastAsia="zh-CN"/>
        </w:rPr>
        <w:t xml:space="preserve"> </w:t>
      </w:r>
      <w:r>
        <w:rPr>
          <w:rFonts w:hint="eastAsia" w:ascii="宋体" w:hAnsi="宋体"/>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kern w:val="0"/>
          <w:sz w:val="21"/>
          <w:szCs w:val="21"/>
          <w:lang w:val="en-US" w:eastAsia="zh-CN"/>
        </w:rPr>
      </w:pPr>
      <w:r>
        <w:rPr>
          <w:rFonts w:hint="eastAsia" w:ascii="宋体" w:hAnsi="宋体"/>
          <w:kern w:val="0"/>
          <w:sz w:val="21"/>
          <w:szCs w:val="21"/>
        </w:rPr>
        <w:t>联系电话：</w:t>
      </w:r>
      <w:r>
        <w:rPr>
          <w:rFonts w:hint="eastAsia" w:ascii="宋体" w:hAnsi="宋体"/>
          <w:kern w:val="0"/>
          <w:sz w:val="21"/>
          <w:szCs w:val="21"/>
          <w:lang w:eastAsia="zh-CN"/>
        </w:rPr>
        <w:t>【</w:t>
      </w:r>
      <w:r>
        <w:rPr>
          <w:rFonts w:hint="eastAsia" w:ascii="宋体" w:hAnsi="宋体"/>
          <w:kern w:val="0"/>
          <w:sz w:val="21"/>
          <w:szCs w:val="21"/>
          <w:lang w:val="en-US" w:eastAsia="zh-CN"/>
        </w:rPr>
        <w:t xml:space="preserve"> </w:t>
      </w:r>
      <w:r>
        <w:rPr>
          <w:rFonts w:hint="eastAsia" w:ascii="宋体" w:hAnsi="宋体"/>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kern w:val="0"/>
          <w:sz w:val="21"/>
          <w:szCs w:val="21"/>
        </w:rPr>
      </w:pPr>
      <w:r>
        <w:rPr>
          <w:rFonts w:hint="eastAsia" w:ascii="宋体" w:hAnsi="宋体"/>
          <w:kern w:val="0"/>
          <w:sz w:val="21"/>
          <w:szCs w:val="21"/>
        </w:rPr>
        <w:t>乙方（供应方）：</w:t>
      </w:r>
      <w:r>
        <w:rPr>
          <w:rFonts w:hint="eastAsia" w:ascii="宋体" w:hAnsi="宋体"/>
          <w:kern w:val="0"/>
          <w:sz w:val="21"/>
          <w:szCs w:val="21"/>
          <w:lang w:eastAsia="zh-CN"/>
        </w:rPr>
        <w:t>【</w:t>
      </w:r>
      <w:r>
        <w:rPr>
          <w:rFonts w:hint="eastAsia" w:ascii="宋体" w:hAnsi="宋体"/>
          <w:kern w:val="0"/>
          <w:sz w:val="21"/>
          <w:szCs w:val="21"/>
          <w:lang w:val="en-US" w:eastAsia="zh-CN"/>
        </w:rPr>
        <w:t xml:space="preserve"> </w:t>
      </w:r>
      <w:r>
        <w:rPr>
          <w:rFonts w:hint="eastAsia" w:ascii="宋体" w:hAnsi="宋体"/>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kern w:val="0"/>
          <w:sz w:val="21"/>
          <w:szCs w:val="21"/>
        </w:rPr>
      </w:pPr>
      <w:r>
        <w:rPr>
          <w:rFonts w:hint="eastAsia" w:ascii="宋体" w:hAnsi="宋体"/>
          <w:kern w:val="0"/>
          <w:sz w:val="21"/>
          <w:szCs w:val="21"/>
          <w:lang w:eastAsia="zh-CN"/>
        </w:rPr>
        <w:t>联系</w:t>
      </w:r>
      <w:r>
        <w:rPr>
          <w:rFonts w:hint="eastAsia" w:ascii="宋体" w:hAnsi="宋体"/>
          <w:kern w:val="0"/>
          <w:sz w:val="21"/>
          <w:szCs w:val="21"/>
        </w:rPr>
        <w:t>人：</w:t>
      </w:r>
      <w:r>
        <w:rPr>
          <w:rFonts w:hint="eastAsia" w:ascii="宋体" w:hAnsi="宋体"/>
          <w:kern w:val="0"/>
          <w:sz w:val="21"/>
          <w:szCs w:val="21"/>
          <w:lang w:val="en-US" w:eastAsia="zh-CN"/>
        </w:rPr>
        <w:t xml:space="preserve">  【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olor w:val="000000"/>
          <w:sz w:val="21"/>
          <w:szCs w:val="21"/>
          <w:lang w:val="en-US" w:eastAsia="zh-CN"/>
        </w:rPr>
      </w:pPr>
      <w:r>
        <w:rPr>
          <w:rFonts w:hint="eastAsia" w:ascii="宋体" w:hAnsi="宋体"/>
          <w:kern w:val="0"/>
          <w:sz w:val="21"/>
          <w:szCs w:val="21"/>
        </w:rPr>
        <w:t>联系电话：</w:t>
      </w:r>
      <w:r>
        <w:rPr>
          <w:rFonts w:hint="eastAsia" w:ascii="宋体" w:hAnsi="宋体"/>
          <w:kern w:val="0"/>
          <w:sz w:val="21"/>
          <w:szCs w:val="21"/>
          <w:lang w:val="en-US" w:eastAsia="zh-CN"/>
        </w:rPr>
        <w:t>【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kern w:val="0"/>
          <w:sz w:val="21"/>
          <w:szCs w:val="21"/>
        </w:rPr>
      </w:pPr>
      <w:r>
        <w:rPr>
          <w:rFonts w:hint="eastAsia" w:ascii="宋体" w:hAnsi="宋体"/>
          <w:kern w:val="0"/>
          <w:sz w:val="21"/>
          <w:szCs w:val="21"/>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sz w:val="21"/>
          <w:szCs w:val="21"/>
        </w:rPr>
      </w:pPr>
      <w:r>
        <w:rPr>
          <w:rFonts w:hint="eastAsia" w:ascii="宋体" w:hAnsi="宋体" w:cs="仿宋_GB2312"/>
          <w:sz w:val="21"/>
          <w:szCs w:val="21"/>
        </w:rPr>
        <w:t>甲方</w:t>
      </w:r>
      <w:r>
        <w:rPr>
          <w:rFonts w:hint="eastAsia" w:ascii="宋体" w:hAnsi="宋体" w:cs="仿宋_GB2312"/>
          <w:sz w:val="21"/>
          <w:szCs w:val="21"/>
          <w:lang w:eastAsia="zh-CN"/>
        </w:rPr>
        <w:t>通过</w:t>
      </w:r>
      <w:r>
        <w:rPr>
          <w:rFonts w:hint="eastAsia" w:ascii="宋体" w:hAnsi="宋体" w:cs="仿宋_GB2312"/>
          <w:sz w:val="21"/>
          <w:szCs w:val="21"/>
          <w:lang w:val="en-US" w:eastAsia="zh-CN"/>
        </w:rPr>
        <w:t>公开询价方式</w:t>
      </w:r>
      <w:r>
        <w:rPr>
          <w:rFonts w:hint="eastAsia" w:ascii="宋体" w:hAnsi="宋体" w:cs="仿宋_GB2312"/>
          <w:sz w:val="21"/>
          <w:szCs w:val="21"/>
        </w:rPr>
        <w:t xml:space="preserve"> 确定乙方为</w:t>
      </w:r>
      <w:r>
        <w:rPr>
          <w:rFonts w:hint="eastAsia" w:cs="仿宋_GB2312"/>
          <w:sz w:val="21"/>
          <w:szCs w:val="21"/>
          <w:lang w:val="en-US" w:eastAsia="zh-CN"/>
        </w:rPr>
        <w:t>南通兴东国际机场密闭箱式三轮车</w:t>
      </w:r>
      <w:r>
        <w:rPr>
          <w:rFonts w:hint="eastAsia" w:ascii="宋体" w:hAnsi="宋体" w:cs="仿宋_GB2312"/>
          <w:sz w:val="21"/>
          <w:szCs w:val="21"/>
        </w:rPr>
        <w:t>项目的供应商。</w:t>
      </w:r>
      <w:r>
        <w:rPr>
          <w:rFonts w:hint="eastAsia" w:ascii="宋体" w:hAnsi="宋体" w:cs="仿宋_GB2312"/>
          <w:sz w:val="21"/>
          <w:szCs w:val="21"/>
          <w:lang w:eastAsia="zh-CN"/>
        </w:rPr>
        <w:t>依</w:t>
      </w:r>
      <w:r>
        <w:rPr>
          <w:rFonts w:hint="eastAsia" w:ascii="宋体" w:hAnsi="宋体" w:cs="宋体"/>
          <w:sz w:val="21"/>
          <w:szCs w:val="21"/>
          <w:lang w:val="zh-CN"/>
        </w:rPr>
        <w:t>据《中华人民共和国</w:t>
      </w:r>
      <w:r>
        <w:rPr>
          <w:rFonts w:hint="eastAsia" w:ascii="宋体" w:hAnsi="宋体" w:cs="宋体"/>
          <w:sz w:val="21"/>
          <w:szCs w:val="21"/>
          <w:lang w:val="en-US" w:eastAsia="zh-CN"/>
        </w:rPr>
        <w:t>民法典</w:t>
      </w:r>
      <w:r>
        <w:rPr>
          <w:rFonts w:hint="eastAsia" w:ascii="宋体" w:hAnsi="宋体" w:cs="宋体"/>
          <w:sz w:val="21"/>
          <w:szCs w:val="21"/>
          <w:lang w:val="zh-CN"/>
        </w:rPr>
        <w:t>》等相关法律法规之规定以及</w:t>
      </w:r>
      <w:r>
        <w:rPr>
          <w:rFonts w:hint="eastAsia" w:ascii="宋体" w:hAnsi="宋体" w:cs="仿宋_GB2312"/>
          <w:sz w:val="21"/>
          <w:szCs w:val="21"/>
          <w:lang w:eastAsia="zh-CN"/>
        </w:rPr>
        <w:t>甲方的采购</w:t>
      </w:r>
      <w:r>
        <w:rPr>
          <w:rFonts w:hint="eastAsia" w:ascii="宋体" w:hAnsi="宋体" w:cs="仿宋_GB2312"/>
          <w:sz w:val="21"/>
          <w:szCs w:val="21"/>
        </w:rPr>
        <w:t>文件、乙方的响应文件</w:t>
      </w:r>
      <w:r>
        <w:rPr>
          <w:rFonts w:hint="eastAsia" w:ascii="宋体" w:hAnsi="宋体" w:cs="仿宋_GB2312"/>
          <w:sz w:val="21"/>
          <w:szCs w:val="21"/>
          <w:lang w:eastAsia="zh-CN"/>
        </w:rPr>
        <w:t>等</w:t>
      </w:r>
      <w:r>
        <w:rPr>
          <w:rFonts w:hint="eastAsia" w:ascii="宋体" w:hAnsi="宋体" w:cs="仿宋_GB2312"/>
          <w:sz w:val="21"/>
          <w:szCs w:val="21"/>
        </w:rPr>
        <w:t>内容</w:t>
      </w:r>
      <w:r>
        <w:rPr>
          <w:rFonts w:hint="eastAsia" w:ascii="宋体" w:hAnsi="宋体" w:cs="宋体"/>
          <w:sz w:val="21"/>
          <w:szCs w:val="21"/>
          <w:lang w:val="zh-CN"/>
        </w:rPr>
        <w:t>，按照平等、自愿、公平和诚实信用的原则，经</w:t>
      </w:r>
      <w:r>
        <w:rPr>
          <w:rFonts w:hint="eastAsia" w:ascii="宋体" w:hAnsi="宋体" w:cs="宋体"/>
          <w:sz w:val="21"/>
          <w:szCs w:val="21"/>
          <w:u w:val="none"/>
          <w:lang w:eastAsia="zh-CN"/>
        </w:rPr>
        <w:t>双方</w:t>
      </w:r>
      <w:r>
        <w:rPr>
          <w:rFonts w:hint="eastAsia" w:ascii="宋体" w:hAnsi="宋体" w:cs="宋体"/>
          <w:sz w:val="21"/>
          <w:szCs w:val="21"/>
          <w:lang w:val="zh-CN"/>
        </w:rPr>
        <w:t>协商一致，约定以下合同</w:t>
      </w:r>
      <w:r>
        <w:rPr>
          <w:rFonts w:hint="eastAsia" w:ascii="宋体" w:hAnsi="宋体" w:cs="宋体"/>
          <w:sz w:val="21"/>
          <w:szCs w:val="21"/>
        </w:rPr>
        <w:t>条款，以兹共同遵守、全面履行。</w:t>
      </w:r>
    </w:p>
    <w:p>
      <w:pPr>
        <w:keepNext w:val="0"/>
        <w:keepLines w:val="0"/>
        <w:pageBreakBefore w:val="0"/>
        <w:numPr>
          <w:ilvl w:val="0"/>
          <w:numId w:val="3"/>
        </w:numPr>
        <w:tabs>
          <w:tab w:val="left" w:pos="540"/>
          <w:tab w:val="clear" w:pos="425"/>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b/>
          <w:sz w:val="21"/>
          <w:szCs w:val="21"/>
        </w:rPr>
      </w:pPr>
      <w:r>
        <w:rPr>
          <w:rFonts w:hint="eastAsia" w:ascii="宋体" w:hAnsi="宋体" w:cs="仿宋_GB2312"/>
          <w:b/>
          <w:sz w:val="21"/>
          <w:szCs w:val="21"/>
        </w:rPr>
        <w:t>合同标的物和合同价格</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cs="仿宋_GB2312"/>
          <w:sz w:val="21"/>
          <w:szCs w:val="21"/>
          <w:lang w:eastAsia="zh-CN"/>
        </w:rPr>
        <w:t>标的物名称：</w:t>
      </w:r>
      <w:r>
        <w:rPr>
          <w:rFonts w:hint="eastAsia" w:cs="仿宋_GB2312"/>
          <w:sz w:val="21"/>
          <w:szCs w:val="21"/>
          <w:lang w:val="en-US" w:eastAsia="zh-CN"/>
        </w:rPr>
        <w:t>密封箱式三轮车</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cs="仿宋_GB2312"/>
          <w:sz w:val="21"/>
          <w:szCs w:val="21"/>
          <w:lang w:eastAsia="zh-CN"/>
        </w:rPr>
        <w:t>标的物数量：</w:t>
      </w:r>
      <w:r>
        <w:rPr>
          <w:rFonts w:hint="eastAsia" w:cs="仿宋_GB2312"/>
          <w:sz w:val="21"/>
          <w:szCs w:val="21"/>
          <w:lang w:val="en-US" w:eastAsia="zh-CN"/>
        </w:rPr>
        <w:t>1</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cs="仿宋_GB2312"/>
          <w:sz w:val="21"/>
          <w:szCs w:val="21"/>
          <w:lang w:eastAsia="zh-CN"/>
        </w:rPr>
        <w:t>标的物总价：人民币</w:t>
      </w:r>
      <w:r>
        <w:rPr>
          <w:rFonts w:hint="eastAsia" w:cs="仿宋_GB2312"/>
          <w:sz w:val="21"/>
          <w:szCs w:val="21"/>
          <w:u w:val="single"/>
          <w:lang w:val="en-US" w:eastAsia="zh-CN"/>
        </w:rPr>
        <w:t>【  】元</w:t>
      </w:r>
      <w:r>
        <w:rPr>
          <w:rFonts w:hint="eastAsia" w:cs="仿宋_GB2312"/>
          <w:sz w:val="21"/>
          <w:szCs w:val="21"/>
          <w:lang w:val="en-US" w:eastAsia="zh-CN"/>
        </w:rPr>
        <w:t>（RMB：  ）</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cs="仿宋_GB2312"/>
          <w:sz w:val="21"/>
          <w:szCs w:val="21"/>
        </w:rPr>
        <w:t>本合同价格包括上述标的物，</w:t>
      </w:r>
      <w:r>
        <w:rPr>
          <w:rFonts w:hint="eastAsia"/>
          <w:sz w:val="21"/>
          <w:szCs w:val="21"/>
        </w:rPr>
        <w:t>一次性报定，</w:t>
      </w:r>
      <w:r>
        <w:rPr>
          <w:sz w:val="21"/>
          <w:szCs w:val="21"/>
        </w:rPr>
        <w:t>包括</w:t>
      </w:r>
      <w:r>
        <w:rPr>
          <w:rFonts w:hint="eastAsia"/>
          <w:sz w:val="21"/>
          <w:szCs w:val="21"/>
          <w:lang w:eastAsia="zh-CN"/>
        </w:rPr>
        <w:t>标的物</w:t>
      </w:r>
      <w:r>
        <w:rPr>
          <w:rFonts w:hint="eastAsia"/>
          <w:sz w:val="21"/>
          <w:szCs w:val="21"/>
        </w:rPr>
        <w:t>、设计费</w:t>
      </w:r>
      <w:r>
        <w:rPr>
          <w:rFonts w:hint="eastAsia"/>
          <w:sz w:val="21"/>
          <w:szCs w:val="21"/>
          <w:lang w:eastAsia="zh-CN"/>
        </w:rPr>
        <w:t>，</w:t>
      </w:r>
      <w:r>
        <w:rPr>
          <w:rFonts w:hint="eastAsia"/>
          <w:sz w:val="21"/>
          <w:szCs w:val="21"/>
        </w:rPr>
        <w:t>以及附（配）件、包装、运输、安装、调试、</w:t>
      </w:r>
      <w:r>
        <w:rPr>
          <w:rFonts w:hint="eastAsia"/>
          <w:sz w:val="21"/>
          <w:szCs w:val="21"/>
          <w:lang w:val="en-US" w:eastAsia="zh-CN"/>
        </w:rPr>
        <w:t>税费、</w:t>
      </w:r>
      <w:r>
        <w:rPr>
          <w:rFonts w:hint="eastAsia"/>
          <w:sz w:val="21"/>
          <w:szCs w:val="21"/>
        </w:rPr>
        <w:t>设备保管、易损易耗件、工具、检验检测费、恢复等交付使用前的一切费用</w:t>
      </w:r>
      <w:r>
        <w:rPr>
          <w:rFonts w:hint="eastAsia" w:cs="仿宋_GB2312"/>
          <w:sz w:val="21"/>
          <w:szCs w:val="21"/>
        </w:rPr>
        <w:t>。</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cs="仿宋_GB2312"/>
          <w:sz w:val="21"/>
          <w:szCs w:val="21"/>
        </w:rPr>
        <w:t>根据现行税法对甲方征收的与本合同有关的一切税费均由甲方承担；根据现行税法对乙方征收的与本合同有关的一切税费均由乙方承担。</w:t>
      </w:r>
    </w:p>
    <w:p>
      <w:pPr>
        <w:keepNext w:val="0"/>
        <w:keepLines w:val="0"/>
        <w:pageBreakBefore w:val="0"/>
        <w:numPr>
          <w:ilvl w:val="0"/>
          <w:numId w:val="3"/>
        </w:numPr>
        <w:tabs>
          <w:tab w:val="left" w:pos="540"/>
          <w:tab w:val="clear" w:pos="425"/>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b/>
          <w:sz w:val="21"/>
          <w:szCs w:val="21"/>
        </w:rPr>
      </w:pPr>
      <w:r>
        <w:rPr>
          <w:rFonts w:hint="eastAsia" w:cs="仿宋_GB2312"/>
          <w:b/>
          <w:sz w:val="21"/>
          <w:szCs w:val="21"/>
        </w:rPr>
        <w:t>标的物交付</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ascii="宋体" w:hAnsi="宋体"/>
          <w:sz w:val="21"/>
          <w:szCs w:val="21"/>
        </w:rPr>
        <w:t>交货日期：合同签订后</w:t>
      </w:r>
      <w:r>
        <w:rPr>
          <w:rFonts w:hint="eastAsia" w:ascii="宋体" w:hAnsi="宋体"/>
          <w:sz w:val="21"/>
          <w:szCs w:val="21"/>
          <w:u w:val="single"/>
        </w:rPr>
        <w:t xml:space="preserve"> </w:t>
      </w:r>
      <w:r>
        <w:rPr>
          <w:rFonts w:hint="eastAsia" w:ascii="宋体" w:hAnsi="宋体"/>
          <w:sz w:val="21"/>
          <w:szCs w:val="21"/>
          <w:u w:val="single"/>
          <w:lang w:val="en-US" w:eastAsia="zh-CN"/>
        </w:rPr>
        <w:t>10</w:t>
      </w:r>
      <w:r>
        <w:rPr>
          <w:rFonts w:hint="eastAsia" w:ascii="宋体" w:hAnsi="宋体"/>
          <w:sz w:val="21"/>
          <w:szCs w:val="21"/>
        </w:rPr>
        <w:t>天交货并</w:t>
      </w:r>
      <w:r>
        <w:rPr>
          <w:rFonts w:hint="eastAsia" w:ascii="宋体" w:hAnsi="宋体"/>
          <w:sz w:val="21"/>
          <w:szCs w:val="21"/>
          <w:lang w:val="en-US" w:eastAsia="zh-CN"/>
        </w:rPr>
        <w:t>投保、上牌，</w:t>
      </w:r>
      <w:r>
        <w:rPr>
          <w:rFonts w:hint="eastAsia" w:ascii="宋体" w:hAnsi="宋体"/>
          <w:sz w:val="21"/>
          <w:szCs w:val="21"/>
        </w:rPr>
        <w:t>安装调试完毕</w:t>
      </w:r>
      <w:r>
        <w:rPr>
          <w:rFonts w:hint="eastAsia" w:ascii="宋体" w:hAnsi="宋体"/>
          <w:sz w:val="21"/>
          <w:szCs w:val="21"/>
          <w:lang w:eastAsia="zh-CN"/>
        </w:rPr>
        <w:t>，</w:t>
      </w:r>
      <w:r>
        <w:rPr>
          <w:rFonts w:hint="eastAsia" w:ascii="宋体" w:hAnsi="宋体"/>
          <w:sz w:val="21"/>
          <w:szCs w:val="21"/>
          <w:lang w:val="en-US" w:eastAsia="zh-CN"/>
        </w:rPr>
        <w:t>达到上路行驶标准</w:t>
      </w:r>
      <w:r>
        <w:rPr>
          <w:rFonts w:hint="eastAsia" w:ascii="宋体" w:hAnsi="宋体"/>
          <w:sz w:val="21"/>
          <w:szCs w:val="21"/>
        </w:rPr>
        <w:t>。</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cs="仿宋_GB2312"/>
          <w:sz w:val="21"/>
          <w:szCs w:val="21"/>
        </w:rPr>
        <w:t>交付地点：</w:t>
      </w:r>
      <w:r>
        <w:rPr>
          <w:rFonts w:hint="eastAsia" w:cs="仿宋_GB2312"/>
          <w:sz w:val="21"/>
          <w:szCs w:val="21"/>
          <w:lang w:eastAsia="zh-CN"/>
        </w:rPr>
        <w:t>兴东国际机场</w:t>
      </w:r>
      <w:r>
        <w:rPr>
          <w:rFonts w:hint="eastAsia" w:cs="仿宋_GB2312"/>
          <w:sz w:val="21"/>
          <w:szCs w:val="21"/>
          <w:lang w:val="en-US" w:eastAsia="zh-CN"/>
        </w:rPr>
        <w:t>航站区管理部</w:t>
      </w:r>
    </w:p>
    <w:p>
      <w:pPr>
        <w:keepNext w:val="0"/>
        <w:keepLines w:val="0"/>
        <w:pageBreakBefore w:val="0"/>
        <w:numPr>
          <w:ilvl w:val="0"/>
          <w:numId w:val="3"/>
        </w:numPr>
        <w:tabs>
          <w:tab w:val="left" w:pos="540"/>
          <w:tab w:val="clear" w:pos="425"/>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b/>
          <w:sz w:val="21"/>
          <w:szCs w:val="21"/>
        </w:rPr>
      </w:pPr>
      <w:r>
        <w:rPr>
          <w:rFonts w:hint="eastAsia" w:cs="仿宋_GB2312"/>
          <w:b/>
          <w:sz w:val="21"/>
          <w:szCs w:val="21"/>
        </w:rPr>
        <w:t>技术规范</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iCs/>
          <w:sz w:val="21"/>
          <w:szCs w:val="21"/>
          <w:u w:val="single"/>
        </w:rPr>
      </w:pPr>
      <w:r>
        <w:rPr>
          <w:rFonts w:cs="仿宋_GB2312"/>
          <w:sz w:val="21"/>
          <w:szCs w:val="21"/>
        </w:rPr>
        <w:t>所</w:t>
      </w:r>
      <w:r>
        <w:rPr>
          <w:rFonts w:hint="eastAsia" w:cs="仿宋_GB2312"/>
          <w:sz w:val="21"/>
          <w:szCs w:val="21"/>
        </w:rPr>
        <w:t>提供货物</w:t>
      </w:r>
      <w:r>
        <w:rPr>
          <w:rFonts w:cs="仿宋_GB2312"/>
          <w:sz w:val="21"/>
          <w:szCs w:val="21"/>
        </w:rPr>
        <w:t>的生产</w:t>
      </w:r>
      <w:r>
        <w:rPr>
          <w:sz w:val="21"/>
          <w:szCs w:val="21"/>
        </w:rPr>
        <w:t>、制造、安装等各项技术标准</w:t>
      </w:r>
      <w:r>
        <w:rPr>
          <w:rFonts w:hint="eastAsia"/>
          <w:sz w:val="21"/>
          <w:szCs w:val="21"/>
        </w:rPr>
        <w:t>，</w:t>
      </w:r>
      <w:r>
        <w:rPr>
          <w:sz w:val="21"/>
          <w:szCs w:val="21"/>
        </w:rPr>
        <w:t>应当符合国家（强制性）标准、各项规范要求</w:t>
      </w:r>
      <w:r>
        <w:rPr>
          <w:rFonts w:hint="eastAsia"/>
          <w:sz w:val="21"/>
          <w:szCs w:val="21"/>
        </w:rPr>
        <w:t>；</w:t>
      </w:r>
      <w:r>
        <w:rPr>
          <w:sz w:val="21"/>
          <w:szCs w:val="21"/>
        </w:rPr>
        <w:t>国家没有相应标准、规范的，可使用行业标准、规定</w:t>
      </w:r>
      <w:r>
        <w:rPr>
          <w:rFonts w:hint="eastAsia"/>
          <w:sz w:val="21"/>
          <w:szCs w:val="21"/>
          <w:lang w:eastAsia="zh-CN"/>
        </w:rPr>
        <w:t>。</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iCs/>
          <w:sz w:val="21"/>
          <w:szCs w:val="21"/>
          <w:u w:val="single"/>
        </w:rPr>
      </w:pPr>
      <w:r>
        <w:rPr>
          <w:rFonts w:hint="eastAsia"/>
          <w:sz w:val="21"/>
          <w:szCs w:val="21"/>
          <w:lang w:eastAsia="zh-CN"/>
        </w:rPr>
        <w:t>乙方提供和交付的货物规格应和甲方提出的要求及乙方响应文件的规格要求一致。</w:t>
      </w:r>
    </w:p>
    <w:p>
      <w:pPr>
        <w:keepNext w:val="0"/>
        <w:keepLines w:val="0"/>
        <w:pageBreakBefore w:val="0"/>
        <w:numPr>
          <w:ilvl w:val="0"/>
          <w:numId w:val="3"/>
        </w:numPr>
        <w:tabs>
          <w:tab w:val="left" w:pos="540"/>
          <w:tab w:val="clear" w:pos="425"/>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b/>
          <w:sz w:val="21"/>
          <w:szCs w:val="21"/>
        </w:rPr>
      </w:pPr>
      <w:r>
        <w:rPr>
          <w:rFonts w:hint="eastAsia" w:cs="仿宋_GB2312"/>
          <w:b/>
          <w:sz w:val="21"/>
          <w:szCs w:val="21"/>
        </w:rPr>
        <w:t>质量要求</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cs="仿宋_GB2312"/>
          <w:sz w:val="21"/>
          <w:szCs w:val="21"/>
        </w:rPr>
        <w:t>所</w:t>
      </w:r>
      <w:r>
        <w:rPr>
          <w:rFonts w:hint="eastAsia" w:cs="仿宋_GB2312"/>
          <w:sz w:val="21"/>
          <w:szCs w:val="21"/>
        </w:rPr>
        <w:t>提供货物</w:t>
      </w:r>
      <w:r>
        <w:rPr>
          <w:rFonts w:hint="eastAsia" w:cs="仿宋_GB2312"/>
          <w:sz w:val="21"/>
          <w:szCs w:val="21"/>
          <w:lang w:val="en-US" w:eastAsia="zh-CN"/>
        </w:rPr>
        <w:t>必须</w:t>
      </w:r>
      <w:r>
        <w:rPr>
          <w:rFonts w:hint="eastAsia" w:cs="仿宋_GB2312"/>
          <w:sz w:val="21"/>
          <w:szCs w:val="21"/>
        </w:rPr>
        <w:t>是全新的、未使用过的、原包装未拆封的商品，</w:t>
      </w:r>
      <w:r>
        <w:rPr>
          <w:rFonts w:hint="eastAsia" w:cs="仿宋_GB2312"/>
          <w:sz w:val="21"/>
          <w:szCs w:val="21"/>
          <w:lang w:val="en-US" w:eastAsia="zh-CN"/>
        </w:rPr>
        <w:t>且</w:t>
      </w:r>
      <w:r>
        <w:rPr>
          <w:rFonts w:hint="eastAsia" w:cs="仿宋_GB2312"/>
          <w:sz w:val="21"/>
          <w:szCs w:val="21"/>
        </w:rPr>
        <w:t>完全符合采购设备规定的质量、规格和性能的要求，产品配置必须原厂出厂时全部自带，所有设备外包装箱不得自行拆封，包装箱上所有标签等不得涂改或撕毁，除有特殊要求外，其余均为标准配置，否则采购单位有权拒绝验收。</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sz w:val="21"/>
          <w:szCs w:val="21"/>
        </w:rPr>
      </w:pPr>
      <w:r>
        <w:rPr>
          <w:rFonts w:hint="eastAsia" w:cs="仿宋_GB2312"/>
          <w:sz w:val="21"/>
          <w:szCs w:val="21"/>
        </w:rPr>
        <w:t>乙方应保证所提供货物涉及到的知识产权是合法取得，并享有完整的知识产权，不会因为甲方的使用而被责令停止使用、追偿或要求赔偿损失，如出现此情况，一切经济和法律责任均由乙方承担。</w:t>
      </w:r>
    </w:p>
    <w:p>
      <w:pPr>
        <w:keepNext w:val="0"/>
        <w:keepLines w:val="0"/>
        <w:pageBreakBefore w:val="0"/>
        <w:numPr>
          <w:ilvl w:val="0"/>
          <w:numId w:val="3"/>
        </w:numPr>
        <w:tabs>
          <w:tab w:val="left" w:pos="540"/>
          <w:tab w:val="clear" w:pos="425"/>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b/>
          <w:sz w:val="21"/>
          <w:szCs w:val="21"/>
        </w:rPr>
      </w:pPr>
      <w:r>
        <w:rPr>
          <w:rFonts w:hint="eastAsia" w:cs="仿宋_GB2312"/>
          <w:b/>
          <w:sz w:val="21"/>
          <w:szCs w:val="21"/>
        </w:rPr>
        <w:t>验收</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cs="仿宋_GB2312"/>
          <w:sz w:val="21"/>
          <w:szCs w:val="21"/>
        </w:rPr>
        <w:t>验收标准：乙方提供的货物必须符合我国最新颁布的与之相关的技术规范与标准，同时必须满足谈判文件中所列规格、具体配置、技术条件及功能要求和乙方承诺的其它指标</w:t>
      </w:r>
      <w:r>
        <w:rPr>
          <w:rFonts w:hint="eastAsia" w:cs="仿宋_GB2312"/>
          <w:sz w:val="21"/>
          <w:szCs w:val="21"/>
          <w:lang w:eastAsia="zh-CN"/>
        </w:rPr>
        <w:t>，</w:t>
      </w:r>
      <w:r>
        <w:rPr>
          <w:rFonts w:hint="eastAsia" w:cs="仿宋_GB2312"/>
          <w:sz w:val="21"/>
          <w:szCs w:val="21"/>
          <w:lang w:val="en-US" w:eastAsia="zh-CN"/>
        </w:rPr>
        <w:t>否则甲方有权拒绝验收。</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cs="仿宋_GB2312"/>
          <w:sz w:val="21"/>
          <w:szCs w:val="21"/>
        </w:rPr>
        <w:t>在交货时必须原包装现场拆封验收，由甲方以及乙方共同对标的物的质量、规格、性能、数量、外观、随机备件备品、装箱单、随机资料、包装等进行详细而全面的检验</w:t>
      </w:r>
      <w:r>
        <w:rPr>
          <w:rFonts w:hint="eastAsia" w:cs="仿宋_GB2312"/>
          <w:sz w:val="21"/>
          <w:szCs w:val="21"/>
          <w:lang w:eastAsia="zh-CN"/>
        </w:rPr>
        <w:t>。</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cs="仿宋_GB2312"/>
          <w:sz w:val="21"/>
          <w:szCs w:val="21"/>
        </w:rPr>
        <w:t>甲方根据合同规定的内容和验收标准进行验收，同时比较乙方出具的检验证明，经检验无误后出具</w:t>
      </w:r>
      <w:r>
        <w:rPr>
          <w:rFonts w:hint="eastAsia" w:cs="仿宋_GB2312"/>
          <w:sz w:val="21"/>
          <w:szCs w:val="21"/>
          <w:lang w:eastAsia="zh-CN"/>
        </w:rPr>
        <w:t>货物</w:t>
      </w:r>
      <w:r>
        <w:rPr>
          <w:rFonts w:hint="eastAsia" w:cs="仿宋_GB2312"/>
          <w:sz w:val="21"/>
          <w:szCs w:val="21"/>
          <w:lang w:val="en-US" w:eastAsia="zh-CN"/>
        </w:rPr>
        <w:t>验收交接单（附件一）</w:t>
      </w:r>
      <w:r>
        <w:rPr>
          <w:rFonts w:hint="eastAsia" w:cs="仿宋_GB2312"/>
          <w:sz w:val="21"/>
          <w:szCs w:val="21"/>
        </w:rPr>
        <w:t>，双方代表须按规定的验收项目对照本合同填好</w:t>
      </w:r>
      <w:r>
        <w:rPr>
          <w:rFonts w:hint="eastAsia" w:cs="仿宋_GB2312"/>
          <w:sz w:val="21"/>
          <w:szCs w:val="21"/>
          <w:lang w:eastAsia="zh-CN"/>
        </w:rPr>
        <w:t>验收交接单</w:t>
      </w:r>
      <w:r>
        <w:rPr>
          <w:rFonts w:hint="eastAsia" w:cs="仿宋_GB2312"/>
          <w:sz w:val="21"/>
          <w:szCs w:val="21"/>
        </w:rPr>
        <w:t>并签名盖章</w:t>
      </w:r>
      <w:r>
        <w:rPr>
          <w:rFonts w:hint="eastAsia" w:cs="仿宋_GB2312"/>
          <w:sz w:val="21"/>
          <w:szCs w:val="21"/>
          <w:lang w:eastAsia="zh-CN"/>
        </w:rPr>
        <w:t>，</w:t>
      </w:r>
      <w:r>
        <w:rPr>
          <w:rFonts w:hint="eastAsia" w:cs="仿宋_GB2312"/>
          <w:sz w:val="21"/>
          <w:szCs w:val="21"/>
        </w:rPr>
        <w:t>作为最终付款所需文件的组成部分。如双方对验收结</w:t>
      </w:r>
      <w:r>
        <w:rPr>
          <w:rFonts w:hint="eastAsia"/>
          <w:sz w:val="21"/>
          <w:szCs w:val="21"/>
        </w:rPr>
        <w:t>果有分歧，则以第三方权威机构的检验结果为准，检验费由有过失的一方支付。</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shd w:val="clear" w:color="FFFFFF" w:fill="D9D9D9"/>
        </w:rPr>
      </w:pPr>
      <w:r>
        <w:rPr>
          <w:rFonts w:hint="eastAsia" w:cs="仿宋_GB2312"/>
          <w:sz w:val="21"/>
          <w:szCs w:val="21"/>
          <w:shd w:val="clear" w:color="auto" w:fill="auto"/>
        </w:rPr>
        <w:t>根据甲方检验的结果或当地技监部门的检验结果，如果标的物的数量、质量或规格与合同不符或证实标的物是具有缺陷的，包括潜在缺陷或使用不符合要求的材料等，甲方</w:t>
      </w:r>
      <w:r>
        <w:rPr>
          <w:rFonts w:hint="eastAsia" w:cs="仿宋_GB2312"/>
          <w:sz w:val="21"/>
          <w:szCs w:val="21"/>
          <w:shd w:val="clear" w:color="auto" w:fill="auto"/>
          <w:lang w:val="en-US" w:eastAsia="zh-CN"/>
        </w:rPr>
        <w:t>应尽快以书面方式将拒绝验收的决定通知到乙方。同时，</w:t>
      </w:r>
      <w:r>
        <w:rPr>
          <w:rFonts w:hint="eastAsia" w:cs="仿宋_GB2312"/>
          <w:sz w:val="21"/>
          <w:szCs w:val="21"/>
          <w:shd w:val="clear" w:color="auto" w:fill="auto"/>
        </w:rPr>
        <w:t>甲方有权根据当地产品质量检验机构或其他有权部门出具的检验证书</w:t>
      </w:r>
      <w:r>
        <w:rPr>
          <w:rFonts w:hint="eastAsia" w:cs="仿宋_GB2312"/>
          <w:sz w:val="21"/>
          <w:szCs w:val="21"/>
          <w:shd w:val="clear" w:color="auto" w:fill="auto"/>
          <w:lang w:eastAsia="zh-CN"/>
        </w:rPr>
        <w:t>依照本合同第</w:t>
      </w:r>
      <w:r>
        <w:rPr>
          <w:rFonts w:hint="eastAsia" w:cs="仿宋_GB2312"/>
          <w:sz w:val="21"/>
          <w:szCs w:val="21"/>
          <w:shd w:val="clear" w:color="auto" w:fill="auto"/>
          <w:lang w:val="en-US" w:eastAsia="zh-CN"/>
        </w:rPr>
        <w:t>10</w:t>
      </w:r>
      <w:r>
        <w:rPr>
          <w:rFonts w:hint="eastAsia" w:cs="仿宋_GB2312"/>
          <w:sz w:val="21"/>
          <w:szCs w:val="21"/>
          <w:shd w:val="clear" w:color="auto" w:fill="auto"/>
          <w:lang w:eastAsia="zh-CN"/>
        </w:rPr>
        <w:t>条规定</w:t>
      </w:r>
      <w:r>
        <w:rPr>
          <w:rFonts w:hint="eastAsia" w:cs="仿宋_GB2312"/>
          <w:sz w:val="21"/>
          <w:szCs w:val="21"/>
          <w:shd w:val="clear" w:color="auto" w:fill="auto"/>
        </w:rPr>
        <w:t>向乙方提出索赔</w:t>
      </w:r>
      <w:r>
        <w:rPr>
          <w:rFonts w:hint="eastAsia" w:cs="仿宋_GB2312"/>
          <w:sz w:val="21"/>
          <w:szCs w:val="21"/>
          <w:shd w:val="clear" w:color="auto" w:fill="auto"/>
          <w:lang w:eastAsia="zh-CN"/>
        </w:rPr>
        <w:t>，并要求乙方承担相应的违约责任。</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cs="仿宋_GB2312"/>
          <w:sz w:val="21"/>
          <w:szCs w:val="21"/>
        </w:rPr>
        <w:t>验收期限在安装调试结束</w:t>
      </w:r>
      <w:r>
        <w:rPr>
          <w:rFonts w:cs="仿宋_GB2312"/>
          <w:sz w:val="21"/>
          <w:szCs w:val="21"/>
        </w:rPr>
        <w:t>30</w:t>
      </w:r>
      <w:r>
        <w:rPr>
          <w:rFonts w:hint="eastAsia" w:cs="仿宋_GB2312"/>
          <w:sz w:val="21"/>
          <w:szCs w:val="21"/>
        </w:rPr>
        <w:t>个工作日内进行。特殊情况需延长的，双方应特别约定。</w:t>
      </w:r>
    </w:p>
    <w:p>
      <w:pPr>
        <w:keepNext w:val="0"/>
        <w:keepLines w:val="0"/>
        <w:pageBreakBefore w:val="0"/>
        <w:numPr>
          <w:ilvl w:val="0"/>
          <w:numId w:val="3"/>
        </w:numPr>
        <w:tabs>
          <w:tab w:val="left" w:pos="540"/>
          <w:tab w:val="clear" w:pos="425"/>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b/>
          <w:sz w:val="21"/>
          <w:szCs w:val="21"/>
        </w:rPr>
      </w:pPr>
      <w:r>
        <w:rPr>
          <w:rFonts w:hint="eastAsia" w:cs="仿宋_GB2312"/>
          <w:b/>
          <w:sz w:val="21"/>
          <w:szCs w:val="21"/>
        </w:rPr>
        <w:t>合同价格支付</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cs="仿宋_GB2312"/>
          <w:sz w:val="21"/>
          <w:szCs w:val="21"/>
        </w:rPr>
        <w:t>支付步骤</w:t>
      </w:r>
      <w:r>
        <w:rPr>
          <w:rFonts w:hint="eastAsia"/>
          <w:sz w:val="21"/>
          <w:szCs w:val="21"/>
        </w:rPr>
        <w:t>：</w:t>
      </w:r>
      <w:r>
        <w:rPr>
          <w:rFonts w:hint="eastAsia"/>
          <w:sz w:val="21"/>
          <w:szCs w:val="21"/>
          <w:lang w:eastAsia="zh-CN"/>
        </w:rPr>
        <w:t>【</w:t>
      </w:r>
      <w:r>
        <w:rPr>
          <w:rFonts w:hint="eastAsia" w:ascii="宋体" w:hAnsi="宋体" w:cs="宋体"/>
          <w:sz w:val="21"/>
          <w:szCs w:val="21"/>
          <w:lang w:val="en-US" w:eastAsia="zh-CN"/>
        </w:rPr>
        <w:t>】</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cs="仿宋_GB2312"/>
          <w:sz w:val="21"/>
          <w:szCs w:val="21"/>
        </w:rPr>
        <w:t>乙方要求付款应提供以下资料：</w:t>
      </w:r>
    </w:p>
    <w:p>
      <w:pPr>
        <w:keepNext w:val="0"/>
        <w:keepLines w:val="0"/>
        <w:pageBreakBefore w:val="0"/>
        <w:widowControl w:val="0"/>
        <w:numPr>
          <w:ilvl w:val="0"/>
          <w:numId w:val="4"/>
        </w:numPr>
        <w:tabs>
          <w:tab w:val="left" w:pos="1080"/>
        </w:tabs>
        <w:kinsoku/>
        <w:wordWrap/>
        <w:overflowPunct/>
        <w:topLinePunct w:val="0"/>
        <w:autoSpaceDE/>
        <w:autoSpaceDN/>
        <w:bidi w:val="0"/>
        <w:adjustRightInd w:val="0"/>
        <w:snapToGrid/>
        <w:spacing w:line="240" w:lineRule="auto"/>
        <w:ind w:left="0" w:leftChars="0" w:right="0" w:rightChars="0" w:firstLine="420" w:firstLineChars="200"/>
        <w:jc w:val="left"/>
        <w:textAlignment w:val="auto"/>
        <w:outlineLvl w:val="9"/>
        <w:rPr>
          <w:rFonts w:hint="eastAsia" w:cs="仿宋_GB2312"/>
          <w:sz w:val="21"/>
          <w:szCs w:val="21"/>
        </w:rPr>
      </w:pPr>
      <w:r>
        <w:rPr>
          <w:rFonts w:hint="eastAsia" w:cs="仿宋_GB2312"/>
          <w:sz w:val="21"/>
          <w:szCs w:val="21"/>
          <w:lang w:eastAsia="zh-CN"/>
        </w:rPr>
        <w:t>增值税专用</w:t>
      </w:r>
      <w:r>
        <w:rPr>
          <w:rFonts w:hint="eastAsia" w:cs="仿宋_GB2312"/>
          <w:sz w:val="21"/>
          <w:szCs w:val="21"/>
        </w:rPr>
        <w:t>发票。</w:t>
      </w:r>
    </w:p>
    <w:p>
      <w:pPr>
        <w:keepNext w:val="0"/>
        <w:keepLines w:val="0"/>
        <w:pageBreakBefore w:val="0"/>
        <w:widowControl w:val="0"/>
        <w:numPr>
          <w:ilvl w:val="0"/>
          <w:numId w:val="4"/>
        </w:numPr>
        <w:tabs>
          <w:tab w:val="left" w:pos="1080"/>
        </w:tabs>
        <w:kinsoku/>
        <w:wordWrap/>
        <w:overflowPunct/>
        <w:topLinePunct w:val="0"/>
        <w:autoSpaceDE/>
        <w:autoSpaceDN/>
        <w:bidi w:val="0"/>
        <w:adjustRightInd w:val="0"/>
        <w:snapToGrid/>
        <w:spacing w:line="240" w:lineRule="auto"/>
        <w:ind w:left="0" w:leftChars="0" w:right="0" w:rightChars="0" w:firstLine="420" w:firstLineChars="200"/>
        <w:jc w:val="left"/>
        <w:textAlignment w:val="auto"/>
        <w:outlineLvl w:val="9"/>
        <w:rPr>
          <w:rFonts w:hint="eastAsia" w:cs="仿宋_GB2312"/>
          <w:sz w:val="21"/>
          <w:szCs w:val="21"/>
        </w:rPr>
      </w:pPr>
      <w:r>
        <w:rPr>
          <w:rFonts w:hint="eastAsia" w:cs="仿宋_GB2312"/>
          <w:sz w:val="21"/>
          <w:szCs w:val="21"/>
        </w:rPr>
        <w:t>甲乙双方签章的</w:t>
      </w:r>
      <w:r>
        <w:rPr>
          <w:rFonts w:hint="eastAsia" w:cs="仿宋_GB2312"/>
          <w:sz w:val="21"/>
          <w:szCs w:val="21"/>
          <w:lang w:eastAsia="zh-CN"/>
        </w:rPr>
        <w:t>货物</w:t>
      </w:r>
      <w:r>
        <w:rPr>
          <w:rFonts w:hint="eastAsia" w:cs="仿宋_GB2312"/>
          <w:sz w:val="21"/>
          <w:szCs w:val="21"/>
        </w:rPr>
        <w:t>验收</w:t>
      </w:r>
      <w:r>
        <w:rPr>
          <w:rFonts w:hint="eastAsia" w:cs="仿宋_GB2312"/>
          <w:sz w:val="21"/>
          <w:szCs w:val="21"/>
          <w:lang w:eastAsia="zh-CN"/>
        </w:rPr>
        <w:t>交接单</w:t>
      </w:r>
      <w:r>
        <w:rPr>
          <w:rFonts w:hint="eastAsia" w:cs="仿宋_GB2312"/>
          <w:sz w:val="21"/>
          <w:szCs w:val="21"/>
        </w:rPr>
        <w:t>。</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eastAsia="宋体" w:cs="仿宋_GB2312"/>
          <w:sz w:val="21"/>
          <w:szCs w:val="21"/>
          <w:lang w:val="en-US" w:eastAsia="zh-CN"/>
        </w:rPr>
      </w:pPr>
      <w:r>
        <w:rPr>
          <w:rFonts w:hint="eastAsia" w:cs="仿宋_GB2312"/>
          <w:sz w:val="21"/>
          <w:szCs w:val="21"/>
        </w:rPr>
        <w:t>支付方式：</w:t>
      </w:r>
      <w:r>
        <w:rPr>
          <w:rFonts w:hint="eastAsia" w:cs="仿宋_GB2312"/>
          <w:sz w:val="21"/>
          <w:szCs w:val="21"/>
          <w:lang w:eastAsia="zh-CN"/>
        </w:rPr>
        <w:t>【</w:t>
      </w:r>
      <w:r>
        <w:rPr>
          <w:rFonts w:hint="eastAsia" w:cs="仿宋_GB2312"/>
          <w:sz w:val="21"/>
          <w:szCs w:val="21"/>
          <w:lang w:val="en-US" w:eastAsia="zh-CN"/>
        </w:rPr>
        <w:t xml:space="preserve">       </w:t>
      </w:r>
      <w:r>
        <w:rPr>
          <w:rFonts w:hint="eastAsia" w:cs="仿宋_GB2312"/>
          <w:sz w:val="21"/>
          <w:szCs w:val="21"/>
          <w:lang w:eastAsia="zh-CN"/>
        </w:rPr>
        <w:t>】</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eastAsia="宋体" w:cs="仿宋_GB2312"/>
          <w:sz w:val="21"/>
          <w:szCs w:val="21"/>
          <w:lang w:val="en-US" w:eastAsia="zh-CN"/>
        </w:rPr>
      </w:pPr>
      <w:r>
        <w:rPr>
          <w:rFonts w:hint="eastAsia" w:cs="仿宋_GB2312"/>
          <w:sz w:val="21"/>
          <w:szCs w:val="21"/>
          <w:lang w:eastAsia="zh-CN"/>
        </w:rPr>
        <w:t>履约保证金：签订合同前，乙方需交【</w:t>
      </w:r>
      <w:r>
        <w:rPr>
          <w:rFonts w:hint="eastAsia" w:cs="仿宋_GB2312"/>
          <w:sz w:val="21"/>
          <w:szCs w:val="21"/>
          <w:lang w:val="en-US" w:eastAsia="zh-CN"/>
        </w:rPr>
        <w:t xml:space="preserve">  </w:t>
      </w:r>
      <w:r>
        <w:rPr>
          <w:rFonts w:hint="eastAsia" w:cs="仿宋_GB2312"/>
          <w:sz w:val="21"/>
          <w:szCs w:val="21"/>
          <w:lang w:eastAsia="zh-CN"/>
        </w:rPr>
        <w:t>】元履约保证金，合同期内无服务质量问题，合同期满无息归还履约保证金。</w:t>
      </w:r>
    </w:p>
    <w:p>
      <w:pPr>
        <w:keepNext w:val="0"/>
        <w:keepLines w:val="0"/>
        <w:pageBreakBefore w:val="0"/>
        <w:numPr>
          <w:ilvl w:val="0"/>
          <w:numId w:val="3"/>
        </w:numPr>
        <w:tabs>
          <w:tab w:val="left" w:pos="540"/>
          <w:tab w:val="clear" w:pos="425"/>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b/>
          <w:sz w:val="21"/>
          <w:szCs w:val="21"/>
        </w:rPr>
      </w:pPr>
      <w:r>
        <w:rPr>
          <w:rFonts w:hint="eastAsia" w:cs="仿宋_GB2312"/>
          <w:b/>
          <w:sz w:val="21"/>
          <w:szCs w:val="21"/>
        </w:rPr>
        <w:t>售后服务</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sz w:val="21"/>
          <w:szCs w:val="21"/>
        </w:rPr>
      </w:pPr>
      <w:r>
        <w:rPr>
          <w:rFonts w:hint="eastAsia" w:ascii="宋体" w:hAnsi="宋体"/>
          <w:kern w:val="0"/>
          <w:sz w:val="21"/>
          <w:szCs w:val="21"/>
        </w:rPr>
        <w:t>除</w:t>
      </w:r>
      <w:r>
        <w:rPr>
          <w:rFonts w:hint="eastAsia" w:ascii="宋体" w:hAnsi="宋体" w:cs="仿宋_GB2312"/>
          <w:sz w:val="21"/>
          <w:szCs w:val="21"/>
        </w:rPr>
        <w:t>特别约定外，合同条款中标的物的质量保证期均自标的物通过最终验收之日起计算，且质量保证期为乙方承诺期限，乙方承诺对本项目提供</w:t>
      </w:r>
      <w:r>
        <w:rPr>
          <w:rFonts w:hint="eastAsia" w:ascii="宋体" w:hAnsi="宋体" w:cs="仿宋_GB2312"/>
          <w:sz w:val="21"/>
          <w:szCs w:val="21"/>
          <w:u w:val="single"/>
          <w:lang w:val="en-US" w:eastAsia="zh-CN"/>
        </w:rPr>
        <w:t>【  】</w:t>
      </w:r>
      <w:r>
        <w:rPr>
          <w:rFonts w:hint="eastAsia" w:ascii="宋体" w:hAnsi="宋体" w:cs="仿宋_GB2312"/>
          <w:sz w:val="21"/>
          <w:szCs w:val="21"/>
        </w:rPr>
        <w:t>的免费保修</w:t>
      </w:r>
      <w:r>
        <w:rPr>
          <w:rFonts w:hint="eastAsia" w:ascii="宋体" w:hAnsi="宋体" w:cs="仿宋_GB2312"/>
          <w:sz w:val="21"/>
          <w:szCs w:val="21"/>
          <w:lang w:val="en-US" w:eastAsia="zh-CN"/>
        </w:rPr>
        <w:t>期</w:t>
      </w:r>
      <w:r>
        <w:rPr>
          <w:rFonts w:hint="eastAsia" w:ascii="宋体" w:hAnsi="宋体" w:cs="仿宋_GB2312"/>
          <w:sz w:val="21"/>
          <w:szCs w:val="21"/>
        </w:rPr>
        <w:t>。</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sz w:val="21"/>
          <w:szCs w:val="21"/>
        </w:rPr>
      </w:pPr>
      <w:r>
        <w:rPr>
          <w:rFonts w:hint="eastAsia" w:ascii="宋体" w:hAnsi="宋体" w:cs="仿宋_GB2312"/>
          <w:sz w:val="21"/>
          <w:szCs w:val="21"/>
        </w:rPr>
        <w:t>乙方应以优良的服务态度，</w:t>
      </w:r>
      <w:r>
        <w:rPr>
          <w:rFonts w:hint="eastAsia" w:ascii="宋体" w:hAnsi="宋体"/>
          <w:sz w:val="21"/>
          <w:szCs w:val="21"/>
        </w:rPr>
        <w:t>必须2小时内响应，4小时内到达现场，8小时内完成采购方提出维修要求，如需更换设备或送修，必须在2个工作日内解决</w:t>
      </w:r>
      <w:r>
        <w:rPr>
          <w:rFonts w:hint="eastAsia" w:ascii="宋体" w:hAnsi="宋体" w:cs="仿宋_GB2312"/>
          <w:sz w:val="21"/>
          <w:szCs w:val="21"/>
        </w:rPr>
        <w:t>。</w:t>
      </w:r>
      <w:r>
        <w:rPr>
          <w:rFonts w:hint="eastAsia" w:ascii="宋体" w:hAnsi="宋体" w:cs="仿宋_GB2312"/>
          <w:sz w:val="21"/>
          <w:szCs w:val="21"/>
          <w:lang w:val="en-US" w:eastAsia="zh-CN"/>
        </w:rPr>
        <w:t>售后服务联系人【   】；</w:t>
      </w:r>
      <w:r>
        <w:rPr>
          <w:rFonts w:hint="eastAsia" w:ascii="宋体" w:hAnsi="宋体" w:cs="仿宋_GB2312"/>
          <w:sz w:val="21"/>
          <w:szCs w:val="21"/>
          <w:lang w:eastAsia="zh-CN"/>
        </w:rPr>
        <w:t>售后服务电话</w:t>
      </w:r>
      <w:r>
        <w:rPr>
          <w:rFonts w:hint="eastAsia" w:ascii="宋体" w:hAnsi="宋体" w:cs="仿宋_GB2312"/>
          <w:sz w:val="21"/>
          <w:szCs w:val="21"/>
          <w:u w:val="single"/>
          <w:lang w:val="en-US" w:eastAsia="zh-CN"/>
        </w:rPr>
        <w:t xml:space="preserve"> 【  】。</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sz w:val="21"/>
          <w:szCs w:val="21"/>
        </w:rPr>
      </w:pPr>
      <w:r>
        <w:rPr>
          <w:rFonts w:hint="eastAsia" w:ascii="宋体" w:hAnsi="宋体" w:cs="仿宋_GB2312"/>
          <w:sz w:val="21"/>
          <w:szCs w:val="21"/>
          <w:lang w:eastAsia="zh-CN"/>
        </w:rPr>
        <w:t>乙方</w:t>
      </w:r>
      <w:r>
        <w:rPr>
          <w:rFonts w:hint="eastAsia" w:ascii="宋体" w:hAnsi="宋体" w:cs="仿宋_GB2312"/>
          <w:sz w:val="21"/>
          <w:szCs w:val="21"/>
          <w:lang w:val="en-US" w:eastAsia="zh-CN"/>
        </w:rPr>
        <w:t>须</w:t>
      </w:r>
      <w:r>
        <w:rPr>
          <w:rFonts w:hint="eastAsia" w:ascii="宋体" w:hAnsi="宋体" w:cs="仿宋_GB2312"/>
          <w:sz w:val="21"/>
          <w:szCs w:val="21"/>
          <w:lang w:eastAsia="zh-CN"/>
        </w:rPr>
        <w:t>对甲方设备操作人员进行免费培训。</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kern w:val="0"/>
          <w:sz w:val="21"/>
          <w:szCs w:val="21"/>
        </w:rPr>
      </w:pPr>
      <w:r>
        <w:rPr>
          <w:rFonts w:hint="eastAsia" w:ascii="宋体" w:hAnsi="宋体" w:cs="仿宋_GB2312"/>
          <w:sz w:val="21"/>
          <w:szCs w:val="21"/>
        </w:rPr>
        <w:t>其它按乙方</w:t>
      </w:r>
      <w:r>
        <w:rPr>
          <w:rFonts w:hint="eastAsia" w:ascii="宋体" w:hAnsi="宋体"/>
          <w:kern w:val="0"/>
          <w:sz w:val="21"/>
          <w:szCs w:val="21"/>
        </w:rPr>
        <w:t>响应文件及相关承诺中等同或优于谈判文件的要求执行。</w:t>
      </w:r>
    </w:p>
    <w:p>
      <w:pPr>
        <w:keepNext w:val="0"/>
        <w:keepLines w:val="0"/>
        <w:pageBreakBefore w:val="0"/>
        <w:numPr>
          <w:ilvl w:val="0"/>
          <w:numId w:val="3"/>
        </w:numPr>
        <w:tabs>
          <w:tab w:val="left" w:pos="540"/>
          <w:tab w:val="clear" w:pos="425"/>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b/>
          <w:sz w:val="21"/>
          <w:szCs w:val="21"/>
        </w:rPr>
      </w:pPr>
      <w:r>
        <w:rPr>
          <w:rFonts w:hint="eastAsia" w:cs="仿宋_GB2312"/>
          <w:b/>
          <w:sz w:val="21"/>
          <w:szCs w:val="21"/>
        </w:rPr>
        <w:t>违约责任</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sz w:val="21"/>
          <w:szCs w:val="21"/>
        </w:rPr>
      </w:pPr>
      <w:r>
        <w:rPr>
          <w:rFonts w:hint="eastAsia" w:ascii="宋体" w:hAnsi="宋体" w:cs="仿宋_GB2312"/>
          <w:sz w:val="21"/>
          <w:szCs w:val="21"/>
        </w:rPr>
        <w:t>甲方违约责任及违约金支付：</w:t>
      </w:r>
      <w:r>
        <w:rPr>
          <w:rFonts w:hint="eastAsia" w:ascii="宋体" w:hAnsi="宋体"/>
          <w:sz w:val="21"/>
          <w:szCs w:val="21"/>
        </w:rPr>
        <w:t>在</w:t>
      </w:r>
      <w:r>
        <w:rPr>
          <w:rFonts w:hint="eastAsia" w:ascii="宋体" w:hAnsi="宋体" w:cs="仿宋_GB2312"/>
          <w:sz w:val="21"/>
          <w:szCs w:val="21"/>
        </w:rPr>
        <w:t>合同生效后，甲方无理由要求退货的，应向乙方偿付合同总价款的5%，作为违约金，违约金不足以补偿损失的，乙方有权要求甲方补足。甲方逾期付款的应按照逾期付款金额的每天万分之四支付逾期付款违约金。甲方</w:t>
      </w:r>
      <w:r>
        <w:rPr>
          <w:rFonts w:hint="eastAsia" w:ascii="宋体" w:hAnsi="宋体"/>
          <w:sz w:val="21"/>
          <w:szCs w:val="21"/>
        </w:rPr>
        <w:t>违反合同规定，拒绝接受乙方交付的合格标的物，应当承担乙方由此造成的损失</w:t>
      </w:r>
      <w:r>
        <w:rPr>
          <w:rFonts w:hint="eastAsia" w:ascii="宋体" w:hAnsi="宋体" w:cs="仿宋_GB2312"/>
          <w:sz w:val="21"/>
          <w:szCs w:val="21"/>
        </w:rPr>
        <w:t>：</w:t>
      </w:r>
    </w:p>
    <w:p>
      <w:pPr>
        <w:keepNext w:val="0"/>
        <w:keepLines w:val="0"/>
        <w:pageBreakBefore w:val="0"/>
        <w:numPr>
          <w:ilvl w:val="0"/>
          <w:numId w:val="0"/>
        </w:numPr>
        <w:tabs>
          <w:tab w:val="left" w:pos="1080"/>
        </w:tabs>
        <w:kinsoku/>
        <w:wordWrap/>
        <w:overflowPunct/>
        <w:topLinePunct w:val="0"/>
        <w:autoSpaceDE/>
        <w:autoSpaceDN/>
        <w:bidi w:val="0"/>
        <w:adjustRightInd/>
        <w:snapToGrid/>
        <w:spacing w:line="240" w:lineRule="auto"/>
        <w:ind w:leftChars="0" w:right="0" w:rightChars="0"/>
        <w:jc w:val="left"/>
        <w:textAlignment w:val="auto"/>
        <w:rPr>
          <w:rFonts w:hint="eastAsia" w:ascii="宋体" w:hAnsi="宋体"/>
          <w:sz w:val="21"/>
          <w:szCs w:val="21"/>
        </w:rPr>
      </w:pPr>
      <w:r>
        <w:rPr>
          <w:rFonts w:hint="eastAsia" w:ascii="宋体" w:hAnsi="宋体" w:cs="仿宋_GB2312"/>
          <w:sz w:val="21"/>
          <w:szCs w:val="21"/>
          <w:lang w:val="en-US" w:eastAsia="zh-CN"/>
        </w:rPr>
        <w:t>8.2</w:t>
      </w:r>
      <w:r>
        <w:rPr>
          <w:rFonts w:hint="eastAsia" w:ascii="宋体" w:hAnsi="宋体" w:cs="仿宋_GB2312"/>
          <w:sz w:val="21"/>
          <w:szCs w:val="21"/>
        </w:rPr>
        <w:t>乙方违约责任及违约金支付：乙方不能交货</w:t>
      </w:r>
      <w:r>
        <w:rPr>
          <w:rFonts w:hint="eastAsia" w:ascii="宋体" w:hAnsi="宋体"/>
          <w:sz w:val="21"/>
          <w:szCs w:val="21"/>
        </w:rPr>
        <w:t>（逾期超过十五天视为不能交货），或交货不合格从而影响甲方按期正常使用的，应向甲方偿付合同总价款5%的违约金，违约金不足以补偿损失的甲方有权要求乙方补足。</w:t>
      </w:r>
    </w:p>
    <w:p>
      <w:pPr>
        <w:keepNext w:val="0"/>
        <w:keepLines w:val="0"/>
        <w:pageBreakBefore w:val="0"/>
        <w:numPr>
          <w:ilvl w:val="0"/>
          <w:numId w:val="0"/>
        </w:numPr>
        <w:tabs>
          <w:tab w:val="left" w:pos="1080"/>
        </w:tabs>
        <w:kinsoku/>
        <w:wordWrap/>
        <w:overflowPunct/>
        <w:topLinePunct w:val="0"/>
        <w:autoSpaceDE/>
        <w:autoSpaceDN/>
        <w:bidi w:val="0"/>
        <w:adjustRightInd/>
        <w:snapToGrid/>
        <w:spacing w:line="240" w:lineRule="auto"/>
        <w:ind w:leftChars="0" w:right="0" w:rightChars="0"/>
        <w:jc w:val="left"/>
        <w:textAlignment w:val="auto"/>
        <w:rPr>
          <w:rFonts w:hint="eastAsia"/>
          <w:sz w:val="21"/>
          <w:szCs w:val="21"/>
        </w:rPr>
      </w:pPr>
      <w:r>
        <w:rPr>
          <w:rFonts w:hint="eastAsia" w:ascii="宋体" w:hAnsi="宋体" w:cs="仿宋_GB2312"/>
          <w:sz w:val="21"/>
          <w:szCs w:val="21"/>
          <w:lang w:val="en-US" w:eastAsia="zh-CN"/>
        </w:rPr>
        <w:t>8.3</w:t>
      </w:r>
      <w:r>
        <w:rPr>
          <w:rFonts w:hint="eastAsia" w:ascii="宋体" w:hAnsi="宋体" w:cs="仿宋_GB2312"/>
          <w:sz w:val="21"/>
          <w:szCs w:val="21"/>
        </w:rPr>
        <w:t>乙方逾期交货的</w:t>
      </w:r>
      <w:r>
        <w:rPr>
          <w:rFonts w:hint="eastAsia" w:ascii="宋体" w:hAnsi="宋体"/>
          <w:sz w:val="21"/>
          <w:szCs w:val="21"/>
        </w:rPr>
        <w:t>，应在发货前与甲方协商，甲方仍需求的，乙方应立即发货并应按照逾期交货部分货款的每天</w:t>
      </w:r>
      <w:r>
        <w:rPr>
          <w:rFonts w:hint="eastAsia"/>
          <w:sz w:val="21"/>
          <w:szCs w:val="21"/>
        </w:rPr>
        <w:t>万分之四支付逾期交货违约金，同时承担甲方因此遭致的损失费用。</w:t>
      </w:r>
    </w:p>
    <w:p>
      <w:pPr>
        <w:keepNext w:val="0"/>
        <w:keepLines w:val="0"/>
        <w:pageBreakBefore w:val="0"/>
        <w:numPr>
          <w:ilvl w:val="0"/>
          <w:numId w:val="0"/>
        </w:numPr>
        <w:tabs>
          <w:tab w:val="left" w:pos="420"/>
        </w:tabs>
        <w:kinsoku/>
        <w:wordWrap/>
        <w:overflowPunct/>
        <w:topLinePunct w:val="0"/>
        <w:autoSpaceDE/>
        <w:autoSpaceDN/>
        <w:bidi w:val="0"/>
        <w:adjustRightInd/>
        <w:snapToGrid/>
        <w:spacing w:line="240" w:lineRule="auto"/>
        <w:ind w:leftChars="0" w:right="0" w:rightChars="0"/>
        <w:jc w:val="both"/>
        <w:textAlignment w:val="auto"/>
        <w:outlineLvl w:val="9"/>
        <w:rPr>
          <w:rFonts w:hint="eastAsia" w:ascii="宋体" w:hAnsi="宋体"/>
          <w:sz w:val="21"/>
          <w:szCs w:val="21"/>
          <w:lang w:eastAsia="zh-CN"/>
        </w:rPr>
      </w:pPr>
      <w:r>
        <w:rPr>
          <w:rFonts w:hint="eastAsia"/>
          <w:sz w:val="21"/>
          <w:szCs w:val="21"/>
          <w:lang w:val="en-US" w:eastAsia="zh-CN"/>
        </w:rPr>
        <w:t>8.4</w:t>
      </w:r>
      <w:r>
        <w:rPr>
          <w:rFonts w:hint="eastAsia" w:ascii="宋体" w:hAnsi="宋体"/>
          <w:sz w:val="21"/>
          <w:szCs w:val="21"/>
          <w:lang w:eastAsia="zh-CN"/>
        </w:rPr>
        <w:t>乙方违反廉政责任，甲方可立即中止合同，乙方及相关人员除承担法律和经济责任外，并终身不得进入甲方市场。</w:t>
      </w:r>
    </w:p>
    <w:p>
      <w:pPr>
        <w:keepNext w:val="0"/>
        <w:keepLines w:val="0"/>
        <w:pageBreakBefore w:val="0"/>
        <w:numPr>
          <w:ilvl w:val="0"/>
          <w:numId w:val="0"/>
        </w:numPr>
        <w:tabs>
          <w:tab w:val="left" w:pos="1080"/>
        </w:tabs>
        <w:kinsoku/>
        <w:wordWrap/>
        <w:overflowPunct/>
        <w:topLinePunct w:val="0"/>
        <w:autoSpaceDE/>
        <w:autoSpaceDN/>
        <w:bidi w:val="0"/>
        <w:adjustRightInd/>
        <w:snapToGrid/>
        <w:spacing w:line="240" w:lineRule="auto"/>
        <w:ind w:leftChars="0" w:right="0" w:rightChars="0"/>
        <w:jc w:val="left"/>
        <w:textAlignment w:val="auto"/>
        <w:rPr>
          <w:rFonts w:hint="default" w:eastAsia="宋体"/>
          <w:sz w:val="21"/>
          <w:szCs w:val="21"/>
          <w:lang w:val="en-US" w:eastAsia="zh-CN"/>
        </w:rPr>
      </w:pPr>
    </w:p>
    <w:p>
      <w:pPr>
        <w:keepNext w:val="0"/>
        <w:keepLines w:val="0"/>
        <w:pageBreakBefore w:val="0"/>
        <w:numPr>
          <w:ilvl w:val="0"/>
          <w:numId w:val="3"/>
        </w:numPr>
        <w:tabs>
          <w:tab w:val="left" w:pos="540"/>
          <w:tab w:val="clear" w:pos="425"/>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b/>
          <w:sz w:val="21"/>
          <w:szCs w:val="21"/>
        </w:rPr>
      </w:pPr>
      <w:r>
        <w:rPr>
          <w:rFonts w:hint="eastAsia" w:cs="仿宋_GB2312"/>
          <w:b/>
          <w:sz w:val="21"/>
          <w:szCs w:val="21"/>
          <w:lang w:eastAsia="zh-CN"/>
        </w:rPr>
        <w:t>廉政责任</w:t>
      </w:r>
    </w:p>
    <w:p>
      <w:pPr>
        <w:keepNext w:val="0"/>
        <w:keepLines w:val="0"/>
        <w:pageBreakBefore w:val="0"/>
        <w:widowControl w:val="0"/>
        <w:numPr>
          <w:ilvl w:val="1"/>
          <w:numId w:val="3"/>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ascii="宋体" w:hAnsi="宋体"/>
          <w:sz w:val="21"/>
          <w:szCs w:val="21"/>
        </w:rPr>
      </w:pPr>
      <w:r>
        <w:rPr>
          <w:rFonts w:hint="eastAsia" w:ascii="宋体" w:hAnsi="宋体"/>
          <w:sz w:val="21"/>
          <w:szCs w:val="21"/>
        </w:rPr>
        <w:t>应严格遵守国家关于市场准入、项目招标投标和市场活动等有关法律、法规，相关政策，以及廉政建设的各项规定。业务活动必须坚持公开、公平、公正、诚信、透明的原则(除法律法规另有规定者外)，不得为获取不正当的利益，损害国家、集体和对方利益，不得违反</w:t>
      </w:r>
      <w:r>
        <w:rPr>
          <w:rFonts w:hint="eastAsia" w:ascii="宋体" w:hAnsi="宋体"/>
          <w:sz w:val="21"/>
          <w:szCs w:val="21"/>
          <w:lang w:eastAsia="zh-CN"/>
        </w:rPr>
        <w:t>服务项目</w:t>
      </w:r>
      <w:r>
        <w:rPr>
          <w:rFonts w:hint="eastAsia" w:ascii="宋体" w:hAnsi="宋体"/>
          <w:sz w:val="21"/>
          <w:szCs w:val="21"/>
        </w:rPr>
        <w:t>管理的规章制度。</w:t>
      </w:r>
    </w:p>
    <w:p>
      <w:pPr>
        <w:keepNext w:val="0"/>
        <w:keepLines w:val="0"/>
        <w:pageBreakBefore w:val="0"/>
        <w:widowControl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cs="仿宋_GB2312"/>
          <w:b/>
          <w:sz w:val="21"/>
          <w:szCs w:val="21"/>
        </w:rPr>
      </w:pPr>
      <w:r>
        <w:rPr>
          <w:rFonts w:hint="eastAsia" w:ascii="宋体" w:hAnsi="宋体"/>
          <w:sz w:val="21"/>
          <w:szCs w:val="21"/>
        </w:rPr>
        <w:t>发现对方在业务活动中有违规、违纪、违法行为的，应及时提醒对方，情节严重的，应向其上级主管部门或纪检监察、司法等有关机关举报</w:t>
      </w:r>
      <w:r>
        <w:rPr>
          <w:rFonts w:hint="eastAsia" w:ascii="宋体" w:hAnsi="宋体"/>
          <w:sz w:val="21"/>
          <w:szCs w:val="21"/>
          <w:lang w:eastAsia="zh-CN"/>
        </w:rPr>
        <w:t>，</w:t>
      </w:r>
      <w:r>
        <w:rPr>
          <w:rFonts w:hint="eastAsia" w:ascii="宋体" w:hAnsi="宋体"/>
          <w:sz w:val="21"/>
          <w:szCs w:val="21"/>
        </w:rPr>
        <w:t>依据有关法律法规和规定给予党纪、政</w:t>
      </w:r>
      <w:r>
        <w:rPr>
          <w:rFonts w:hint="eastAsia" w:ascii="宋体" w:hAnsi="宋体"/>
          <w:sz w:val="21"/>
          <w:szCs w:val="21"/>
          <w:lang w:eastAsia="zh-CN"/>
        </w:rPr>
        <w:t>务</w:t>
      </w:r>
      <w:r>
        <w:rPr>
          <w:rFonts w:hint="eastAsia" w:ascii="宋体" w:hAnsi="宋体"/>
          <w:sz w:val="21"/>
          <w:szCs w:val="21"/>
        </w:rPr>
        <w:t>处分或组织处理；涉嫌犯罪的，移交司法机关追究刑事责任；给承包人单位造成经济损失的，应予以赔偿。</w:t>
      </w:r>
    </w:p>
    <w:p>
      <w:pPr>
        <w:keepNext w:val="0"/>
        <w:keepLines w:val="0"/>
        <w:pageBreakBefore w:val="0"/>
        <w:widowControl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sz w:val="21"/>
          <w:szCs w:val="21"/>
        </w:rPr>
      </w:pPr>
      <w:r>
        <w:rPr>
          <w:rFonts w:hint="eastAsia" w:ascii="宋体" w:hAnsi="宋体"/>
          <w:sz w:val="21"/>
          <w:szCs w:val="21"/>
        </w:rPr>
        <w:t>甲、乙双方应当保持正常的业务活动，不得产生非业务的活动，不得存在影响公正的行为。甲方不得要求、暗示或接受乙方提供的与利益相关的活动、安排和服务。乙方不得向甲方提供回扣、礼金、报销、为近亲属安排工作、旅游等存在利益输送的行为活动。</w:t>
      </w:r>
    </w:p>
    <w:p>
      <w:pPr>
        <w:keepNext w:val="0"/>
        <w:keepLines w:val="0"/>
        <w:pageBreakBefore w:val="0"/>
        <w:numPr>
          <w:ilvl w:val="0"/>
          <w:numId w:val="3"/>
        </w:numPr>
        <w:tabs>
          <w:tab w:val="left" w:pos="540"/>
          <w:tab w:val="clear" w:pos="425"/>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b/>
          <w:sz w:val="21"/>
          <w:szCs w:val="21"/>
        </w:rPr>
      </w:pPr>
      <w:r>
        <w:rPr>
          <w:rFonts w:hint="eastAsia" w:cs="仿宋_GB2312"/>
          <w:b/>
          <w:sz w:val="21"/>
          <w:szCs w:val="21"/>
        </w:rPr>
        <w:t>索赔</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shd w:val="clear" w:color="auto" w:fill="auto"/>
        </w:rPr>
      </w:pPr>
      <w:r>
        <w:rPr>
          <w:rFonts w:hint="eastAsia" w:cs="仿宋_GB2312"/>
          <w:sz w:val="21"/>
          <w:szCs w:val="21"/>
          <w:shd w:val="clear" w:color="auto" w:fill="auto"/>
        </w:rPr>
        <w:t>在本合同规定的检验期限和质量保证期内，如果乙方对甲方提出的索赔或差异有责任，则乙方应按甲方同意的下列一种或多种方式解决索赔事宜：</w:t>
      </w:r>
    </w:p>
    <w:p>
      <w:pPr>
        <w:keepNext w:val="0"/>
        <w:keepLines w:val="0"/>
        <w:pageBreakBefore w:val="0"/>
        <w:numPr>
          <w:ilvl w:val="0"/>
          <w:numId w:val="0"/>
        </w:numPr>
        <w:tabs>
          <w:tab w:val="left" w:pos="1080"/>
        </w:tabs>
        <w:kinsoku/>
        <w:wordWrap/>
        <w:overflowPunct/>
        <w:topLinePunct w:val="0"/>
        <w:autoSpaceDE/>
        <w:autoSpaceDN/>
        <w:bidi w:val="0"/>
        <w:adjustRightInd/>
        <w:snapToGrid/>
        <w:spacing w:line="240" w:lineRule="auto"/>
        <w:ind w:leftChars="0" w:right="0" w:rightChars="0"/>
        <w:jc w:val="left"/>
        <w:textAlignment w:val="auto"/>
        <w:rPr>
          <w:rFonts w:hint="eastAsia" w:cs="仿宋_GB2312"/>
          <w:sz w:val="21"/>
          <w:szCs w:val="21"/>
        </w:rPr>
      </w:pPr>
      <w:r>
        <w:rPr>
          <w:rFonts w:hint="eastAsia" w:cs="仿宋_GB2312"/>
          <w:sz w:val="21"/>
          <w:szCs w:val="21"/>
          <w:lang w:val="en-US" w:eastAsia="zh-CN"/>
        </w:rPr>
        <w:t>10.2.1</w:t>
      </w:r>
      <w:r>
        <w:rPr>
          <w:rFonts w:hint="eastAsia" w:cs="仿宋_GB2312"/>
          <w:sz w:val="21"/>
          <w:szCs w:val="21"/>
        </w:rPr>
        <w:t>乙方同意退货，并按合同规定的货币将货款退还给甲方，并且承担由此发生的一切损失和费用，包括利息、银行手续费、运费、保险费、检验费、仓储费、装卸费以及为保护退回标的物所需的其他必要费用。</w:t>
      </w:r>
    </w:p>
    <w:p>
      <w:pPr>
        <w:keepNext w:val="0"/>
        <w:keepLines w:val="0"/>
        <w:pageBreakBefore w:val="0"/>
        <w:numPr>
          <w:ilvl w:val="0"/>
          <w:numId w:val="0"/>
        </w:numPr>
        <w:tabs>
          <w:tab w:val="left" w:pos="1080"/>
        </w:tabs>
        <w:kinsoku/>
        <w:wordWrap/>
        <w:overflowPunct/>
        <w:topLinePunct w:val="0"/>
        <w:autoSpaceDE/>
        <w:autoSpaceDN/>
        <w:bidi w:val="0"/>
        <w:adjustRightInd/>
        <w:snapToGrid/>
        <w:spacing w:line="240" w:lineRule="auto"/>
        <w:ind w:leftChars="0" w:right="0" w:rightChars="0"/>
        <w:jc w:val="left"/>
        <w:textAlignment w:val="auto"/>
        <w:rPr>
          <w:rFonts w:hint="eastAsia" w:cs="仿宋_GB2312"/>
          <w:sz w:val="21"/>
          <w:szCs w:val="21"/>
        </w:rPr>
      </w:pPr>
      <w:r>
        <w:rPr>
          <w:rFonts w:hint="eastAsia" w:cs="仿宋_GB2312"/>
          <w:sz w:val="21"/>
          <w:szCs w:val="21"/>
        </w:rPr>
        <w:t>根据标的物的低劣程度、损坏程度以及甲方遭受损失的数额，经双方协商确定降低的物的价格。</w:t>
      </w:r>
    </w:p>
    <w:p>
      <w:pPr>
        <w:keepNext w:val="0"/>
        <w:keepLines w:val="0"/>
        <w:pageBreakBefore w:val="0"/>
        <w:numPr>
          <w:ilvl w:val="0"/>
          <w:numId w:val="0"/>
        </w:numPr>
        <w:tabs>
          <w:tab w:val="left" w:pos="1080"/>
        </w:tabs>
        <w:kinsoku/>
        <w:wordWrap/>
        <w:overflowPunct/>
        <w:topLinePunct w:val="0"/>
        <w:autoSpaceDE/>
        <w:autoSpaceDN/>
        <w:bidi w:val="0"/>
        <w:adjustRightInd/>
        <w:snapToGrid/>
        <w:spacing w:line="240" w:lineRule="auto"/>
        <w:ind w:leftChars="0" w:right="0" w:rightChars="0"/>
        <w:jc w:val="left"/>
        <w:textAlignment w:val="auto"/>
        <w:rPr>
          <w:rFonts w:hint="eastAsia" w:cs="仿宋_GB2312"/>
          <w:sz w:val="21"/>
          <w:szCs w:val="21"/>
        </w:rPr>
      </w:pPr>
      <w:r>
        <w:rPr>
          <w:rFonts w:hint="eastAsia" w:cs="仿宋_GB2312"/>
          <w:sz w:val="21"/>
          <w:szCs w:val="21"/>
          <w:lang w:val="en-US" w:eastAsia="zh-CN"/>
        </w:rPr>
        <w:t>10.2.2</w:t>
      </w:r>
      <w:r>
        <w:rPr>
          <w:rFonts w:hint="eastAsia" w:cs="仿宋_GB2312"/>
          <w:sz w:val="21"/>
          <w:szCs w:val="21"/>
        </w:rPr>
        <w:t>用符合规格、质量和性能要求的新零件、部件或标的物来更换有缺陷的部分或修补缺陷部分，乙方应承担一切费用和风险并且负担甲方所发生的一切直接费用。同时，乙方应按合同规定，相应延长修补或被更换部件或标的物的质量保证期。</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cs="仿宋_GB2312"/>
          <w:sz w:val="21"/>
          <w:szCs w:val="21"/>
        </w:rPr>
        <w:t xml:space="preserve">如果在甲方发出索赔通知后七天内，乙方未能答复，上述索赔应视为已被乙方接受。若乙方未在甲方提出索赔通知后七天内或甲方同意的更长时间内，按照合同规定的任何一种方法解决索赔事宜，甲方将从未付款或乙方开具的质量保证金中扣回索赔金额，如果这些金额不足以补偿索赔金额，甲方有权向乙方提出对不足部分的补偿。 </w:t>
      </w:r>
    </w:p>
    <w:p>
      <w:pPr>
        <w:keepNext w:val="0"/>
        <w:keepLines w:val="0"/>
        <w:pageBreakBefore w:val="0"/>
        <w:numPr>
          <w:ilvl w:val="0"/>
          <w:numId w:val="3"/>
        </w:numPr>
        <w:tabs>
          <w:tab w:val="left" w:pos="540"/>
          <w:tab w:val="clear" w:pos="425"/>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b/>
          <w:sz w:val="21"/>
          <w:szCs w:val="21"/>
        </w:rPr>
      </w:pPr>
      <w:r>
        <w:rPr>
          <w:rFonts w:hint="eastAsia" w:cs="仿宋_GB2312"/>
          <w:b/>
          <w:sz w:val="21"/>
          <w:szCs w:val="21"/>
        </w:rPr>
        <w:t>合同的解除</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cs="仿宋_GB2312"/>
          <w:sz w:val="21"/>
          <w:szCs w:val="21"/>
        </w:rPr>
        <w:t>有下列情形之一，合同一方可以解除合同：</w:t>
      </w:r>
    </w:p>
    <w:p>
      <w:pPr>
        <w:keepNext w:val="0"/>
        <w:keepLines w:val="0"/>
        <w:pageBreakBefore w:val="0"/>
        <w:numPr>
          <w:ilvl w:val="0"/>
          <w:numId w:val="0"/>
        </w:numPr>
        <w:tabs>
          <w:tab w:val="left" w:pos="1080"/>
        </w:tabs>
        <w:kinsoku/>
        <w:wordWrap/>
        <w:overflowPunct/>
        <w:topLinePunct w:val="0"/>
        <w:autoSpaceDE/>
        <w:autoSpaceDN/>
        <w:bidi w:val="0"/>
        <w:adjustRightInd/>
        <w:snapToGrid/>
        <w:spacing w:line="240" w:lineRule="auto"/>
        <w:ind w:leftChars="200" w:right="0" w:rightChars="0"/>
        <w:jc w:val="left"/>
        <w:textAlignment w:val="auto"/>
        <w:rPr>
          <w:rFonts w:hint="eastAsia" w:cs="仿宋_GB2312"/>
          <w:sz w:val="21"/>
          <w:szCs w:val="21"/>
        </w:rPr>
      </w:pPr>
      <w:r>
        <w:rPr>
          <w:rFonts w:hint="eastAsia" w:cs="仿宋_GB2312"/>
          <w:sz w:val="21"/>
          <w:szCs w:val="21"/>
          <w:lang w:val="en-US" w:eastAsia="zh-CN"/>
        </w:rPr>
        <w:t>11.1.1</w:t>
      </w:r>
      <w:r>
        <w:rPr>
          <w:rFonts w:hint="eastAsia" w:cs="仿宋_GB2312"/>
          <w:sz w:val="21"/>
          <w:szCs w:val="21"/>
        </w:rPr>
        <w:t>因不可抗力致使不能实现合同目的，未受不可抗力影响的一方有权解除合同；</w:t>
      </w:r>
    </w:p>
    <w:p>
      <w:pPr>
        <w:keepNext w:val="0"/>
        <w:keepLines w:val="0"/>
        <w:pageBreakBefore w:val="0"/>
        <w:numPr>
          <w:ilvl w:val="0"/>
          <w:numId w:val="0"/>
        </w:numPr>
        <w:tabs>
          <w:tab w:val="left" w:pos="1080"/>
        </w:tabs>
        <w:kinsoku/>
        <w:wordWrap/>
        <w:overflowPunct/>
        <w:topLinePunct w:val="0"/>
        <w:autoSpaceDE/>
        <w:autoSpaceDN/>
        <w:bidi w:val="0"/>
        <w:adjustRightInd/>
        <w:snapToGrid/>
        <w:spacing w:line="240" w:lineRule="auto"/>
        <w:ind w:leftChars="200" w:right="0" w:rightChars="0"/>
        <w:jc w:val="left"/>
        <w:textAlignment w:val="auto"/>
        <w:rPr>
          <w:rFonts w:hint="eastAsia" w:cs="仿宋_GB2312"/>
          <w:sz w:val="21"/>
          <w:szCs w:val="21"/>
        </w:rPr>
      </w:pPr>
      <w:r>
        <w:rPr>
          <w:rFonts w:hint="eastAsia" w:cs="仿宋_GB2312"/>
          <w:sz w:val="21"/>
          <w:szCs w:val="21"/>
          <w:lang w:val="en-US" w:eastAsia="zh-CN"/>
        </w:rPr>
        <w:t>11.1.2</w:t>
      </w:r>
      <w:r>
        <w:rPr>
          <w:rFonts w:hint="eastAsia" w:cs="仿宋_GB2312"/>
          <w:sz w:val="21"/>
          <w:szCs w:val="21"/>
        </w:rPr>
        <w:t>因合同一方违约导致合同不能履行</w:t>
      </w:r>
      <w:r>
        <w:rPr>
          <w:rFonts w:hint="eastAsia" w:cs="仿宋_GB2312"/>
          <w:sz w:val="21"/>
          <w:szCs w:val="21"/>
          <w:lang w:val="en-US" w:eastAsia="zh-CN"/>
        </w:rPr>
        <w:t>的</w:t>
      </w:r>
      <w:r>
        <w:rPr>
          <w:rFonts w:hint="eastAsia" w:cs="仿宋_GB2312"/>
          <w:sz w:val="21"/>
          <w:szCs w:val="21"/>
        </w:rPr>
        <w:t>，另一方有权解除合同。</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cs="仿宋_GB2312"/>
          <w:sz w:val="21"/>
          <w:szCs w:val="21"/>
        </w:rPr>
        <w:t>有权解除合同的一方，应当在违约事实或不可抗力发生之后三十天内书面通知对方以主张解除合同，合同在书面通知到达对方时解除。</w:t>
      </w:r>
    </w:p>
    <w:p>
      <w:pPr>
        <w:keepNext w:val="0"/>
        <w:keepLines w:val="0"/>
        <w:pageBreakBefore w:val="0"/>
        <w:numPr>
          <w:ilvl w:val="0"/>
          <w:numId w:val="3"/>
        </w:numPr>
        <w:tabs>
          <w:tab w:val="left" w:pos="540"/>
          <w:tab w:val="clear" w:pos="425"/>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b/>
          <w:sz w:val="21"/>
          <w:szCs w:val="21"/>
        </w:rPr>
      </w:pPr>
      <w:r>
        <w:rPr>
          <w:rFonts w:hint="eastAsia" w:cs="仿宋_GB2312"/>
          <w:b/>
          <w:sz w:val="21"/>
          <w:szCs w:val="21"/>
        </w:rPr>
        <w:t>争议解决办法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cs="仿宋_GB2312"/>
          <w:sz w:val="21"/>
          <w:szCs w:val="21"/>
        </w:rPr>
      </w:pPr>
      <w:r>
        <w:rPr>
          <w:rFonts w:hint="eastAsia" w:cs="仿宋_GB2312"/>
          <w:sz w:val="21"/>
          <w:szCs w:val="21"/>
        </w:rPr>
        <w:t>因本合同或与本合同有关的一切事项发生争议，由双方友好协商解决。协商不成的，任何一方均可选择向甲方所在地的人民法院起诉。</w:t>
      </w:r>
    </w:p>
    <w:p>
      <w:pPr>
        <w:keepNext w:val="0"/>
        <w:keepLines w:val="0"/>
        <w:pageBreakBefore w:val="0"/>
        <w:numPr>
          <w:ilvl w:val="0"/>
          <w:numId w:val="3"/>
        </w:numPr>
        <w:tabs>
          <w:tab w:val="left" w:pos="540"/>
          <w:tab w:val="clear" w:pos="425"/>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b/>
          <w:sz w:val="21"/>
          <w:szCs w:val="21"/>
        </w:rPr>
      </w:pPr>
      <w:r>
        <w:rPr>
          <w:rFonts w:hint="eastAsia" w:cs="仿宋_GB2312"/>
          <w:b/>
          <w:sz w:val="21"/>
          <w:szCs w:val="21"/>
        </w:rPr>
        <w:t>不可抗力</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sz w:val="21"/>
          <w:szCs w:val="21"/>
        </w:rPr>
        <w:t>因不</w:t>
      </w:r>
      <w:r>
        <w:rPr>
          <w:rFonts w:hint="eastAsia" w:cs="仿宋_GB2312"/>
          <w:sz w:val="21"/>
          <w:szCs w:val="21"/>
        </w:rPr>
        <w:t>可抗力不能履行合同的，根据不可抗力的影响，部分或者全部免除责任。但合同一方延迟履行后发生不可抗力的，不能免除责任。</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sz w:val="21"/>
          <w:szCs w:val="21"/>
        </w:rPr>
      </w:pPr>
      <w:r>
        <w:rPr>
          <w:rFonts w:hint="eastAsia" w:cs="仿宋_GB2312"/>
          <w:sz w:val="21"/>
          <w:szCs w:val="21"/>
        </w:rPr>
        <w:t>合同一方因不可抗力不能履行合同的，应当及时通知对方，以减轻可能给对方造成的损失，并应当在合理期限内</w:t>
      </w:r>
      <w:r>
        <w:rPr>
          <w:rFonts w:hint="eastAsia"/>
          <w:sz w:val="21"/>
          <w:szCs w:val="21"/>
        </w:rPr>
        <w:t>提供证明。</w:t>
      </w:r>
    </w:p>
    <w:p>
      <w:pPr>
        <w:keepNext w:val="0"/>
        <w:keepLines w:val="0"/>
        <w:pageBreakBefore w:val="0"/>
        <w:numPr>
          <w:ilvl w:val="0"/>
          <w:numId w:val="3"/>
        </w:numPr>
        <w:tabs>
          <w:tab w:val="left" w:pos="540"/>
          <w:tab w:val="clear" w:pos="425"/>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cs="仿宋_GB2312"/>
          <w:b/>
          <w:sz w:val="21"/>
          <w:szCs w:val="21"/>
        </w:rPr>
      </w:pPr>
      <w:r>
        <w:rPr>
          <w:rFonts w:hint="eastAsia" w:cs="仿宋_GB2312"/>
          <w:b/>
          <w:sz w:val="21"/>
          <w:szCs w:val="21"/>
        </w:rPr>
        <w:t>合同生效及其他</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sz w:val="21"/>
          <w:szCs w:val="21"/>
        </w:rPr>
      </w:pPr>
      <w:r>
        <w:rPr>
          <w:rFonts w:hint="eastAsia" w:cs="仿宋_GB2312"/>
          <w:sz w:val="21"/>
          <w:szCs w:val="21"/>
        </w:rPr>
        <w:t>本合同经双方法定（授权）代表人签字（或盖章）并盖单位公章（合同章）后生效。</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sz w:val="21"/>
          <w:szCs w:val="21"/>
        </w:rPr>
      </w:pPr>
      <w:r>
        <w:rPr>
          <w:rFonts w:hint="eastAsia" w:cs="仿宋_GB2312"/>
          <w:sz w:val="21"/>
          <w:szCs w:val="21"/>
        </w:rPr>
        <w:t>下列文件为本合同不可分割部分</w:t>
      </w:r>
      <w:r>
        <w:rPr>
          <w:rFonts w:hint="eastAsia"/>
          <w:sz w:val="21"/>
          <w:szCs w:val="21"/>
        </w:rPr>
        <w:t>：</w:t>
      </w:r>
    </w:p>
    <w:p>
      <w:pPr>
        <w:keepNext w:val="0"/>
        <w:keepLines w:val="0"/>
        <w:pageBreakBefore w:val="0"/>
        <w:numPr>
          <w:ilvl w:val="0"/>
          <w:numId w:val="0"/>
        </w:numPr>
        <w:tabs>
          <w:tab w:val="left" w:pos="1080"/>
        </w:tabs>
        <w:kinsoku/>
        <w:wordWrap/>
        <w:overflowPunct/>
        <w:topLinePunct w:val="0"/>
        <w:autoSpaceDE/>
        <w:autoSpaceDN/>
        <w:bidi w:val="0"/>
        <w:adjustRightInd/>
        <w:snapToGrid/>
        <w:spacing w:line="240" w:lineRule="auto"/>
        <w:ind w:leftChars="200" w:right="0" w:rightChars="0"/>
        <w:jc w:val="left"/>
        <w:textAlignment w:val="auto"/>
        <w:rPr>
          <w:rFonts w:hint="eastAsia" w:cs="仿宋_GB2312"/>
          <w:sz w:val="21"/>
          <w:szCs w:val="21"/>
        </w:rPr>
      </w:pPr>
      <w:r>
        <w:rPr>
          <w:rFonts w:hint="eastAsia" w:cs="仿宋_GB2312"/>
          <w:sz w:val="21"/>
          <w:szCs w:val="21"/>
          <w:lang w:val="en-US" w:eastAsia="zh-CN"/>
        </w:rPr>
        <w:t>14.2.1</w:t>
      </w:r>
      <w:r>
        <w:rPr>
          <w:rFonts w:hint="eastAsia" w:cs="仿宋_GB2312"/>
          <w:sz w:val="21"/>
          <w:szCs w:val="21"/>
        </w:rPr>
        <w:t>乙方的响应文件；</w:t>
      </w:r>
    </w:p>
    <w:p>
      <w:pPr>
        <w:keepNext w:val="0"/>
        <w:keepLines w:val="0"/>
        <w:pageBreakBefore w:val="0"/>
        <w:numPr>
          <w:ilvl w:val="0"/>
          <w:numId w:val="0"/>
        </w:numPr>
        <w:tabs>
          <w:tab w:val="left" w:pos="1080"/>
        </w:tabs>
        <w:kinsoku/>
        <w:wordWrap/>
        <w:overflowPunct/>
        <w:topLinePunct w:val="0"/>
        <w:autoSpaceDE/>
        <w:autoSpaceDN/>
        <w:bidi w:val="0"/>
        <w:adjustRightInd/>
        <w:snapToGrid/>
        <w:spacing w:line="240" w:lineRule="auto"/>
        <w:ind w:leftChars="200" w:right="0" w:rightChars="0"/>
        <w:jc w:val="left"/>
        <w:textAlignment w:val="auto"/>
        <w:rPr>
          <w:rFonts w:hint="eastAsia" w:cs="仿宋_GB2312"/>
          <w:sz w:val="21"/>
          <w:szCs w:val="21"/>
        </w:rPr>
      </w:pPr>
      <w:r>
        <w:rPr>
          <w:rFonts w:hint="eastAsia" w:cs="仿宋_GB2312"/>
          <w:sz w:val="21"/>
          <w:szCs w:val="21"/>
          <w:lang w:val="en-US" w:eastAsia="zh-CN"/>
        </w:rPr>
        <w:t>14.2.2</w:t>
      </w:r>
      <w:r>
        <w:rPr>
          <w:rFonts w:hint="eastAsia" w:cs="仿宋_GB2312"/>
          <w:sz w:val="21"/>
          <w:szCs w:val="21"/>
        </w:rPr>
        <w:t>乙方在招投标过程</w:t>
      </w:r>
      <w:r>
        <w:rPr>
          <w:rFonts w:hint="eastAsia"/>
          <w:sz w:val="21"/>
          <w:szCs w:val="21"/>
        </w:rPr>
        <w:t>中所作的其他承诺、声明、书面澄清等。</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sz w:val="21"/>
          <w:szCs w:val="21"/>
        </w:rPr>
      </w:pPr>
      <w:r>
        <w:rPr>
          <w:rFonts w:hint="eastAsia" w:cs="仿宋_GB2312"/>
          <w:sz w:val="21"/>
          <w:szCs w:val="21"/>
        </w:rPr>
        <w:t>合同在执行过程中出现的未尽事宜，双方在不违背本合同和采购文件的原则下协商解决，协商结果以书面形式盖章记录在案，作为本合同的附件，与本合同具有同等效力。</w:t>
      </w:r>
    </w:p>
    <w:p>
      <w:pPr>
        <w:keepNext w:val="0"/>
        <w:keepLines w:val="0"/>
        <w:pageBreakBefore w:val="0"/>
        <w:numPr>
          <w:ilvl w:val="1"/>
          <w:numId w:val="3"/>
        </w:numPr>
        <w:tabs>
          <w:tab w:val="left" w:pos="540"/>
          <w:tab w:val="clear" w:pos="567"/>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sz w:val="21"/>
          <w:szCs w:val="21"/>
        </w:rPr>
      </w:pPr>
      <w:r>
        <w:rPr>
          <w:rFonts w:hint="eastAsia" w:cs="仿宋_GB2312"/>
          <w:sz w:val="21"/>
          <w:szCs w:val="21"/>
        </w:rPr>
        <w:t>本合同一式</w:t>
      </w:r>
      <w:r>
        <w:rPr>
          <w:rFonts w:hint="eastAsia" w:cs="仿宋_GB2312"/>
          <w:sz w:val="21"/>
          <w:szCs w:val="21"/>
          <w:u w:val="single"/>
          <w:lang w:eastAsia="zh-CN"/>
        </w:rPr>
        <w:t>【</w:t>
      </w:r>
      <w:r>
        <w:rPr>
          <w:rFonts w:hint="eastAsia" w:cs="仿宋_GB2312"/>
          <w:sz w:val="21"/>
          <w:szCs w:val="21"/>
          <w:u w:val="single"/>
          <w:lang w:val="en-US" w:eastAsia="zh-CN"/>
        </w:rPr>
        <w:t xml:space="preserve"> </w:t>
      </w:r>
      <w:r>
        <w:rPr>
          <w:rFonts w:hint="eastAsia" w:cs="仿宋_GB2312"/>
          <w:sz w:val="21"/>
          <w:szCs w:val="21"/>
          <w:u w:val="single"/>
          <w:lang w:eastAsia="zh-CN"/>
        </w:rPr>
        <w:t>】</w:t>
      </w:r>
      <w:r>
        <w:rPr>
          <w:rFonts w:hint="eastAsia" w:cs="仿宋_GB2312"/>
          <w:sz w:val="21"/>
          <w:szCs w:val="21"/>
        </w:rPr>
        <w:t>份，甲</w:t>
      </w:r>
      <w:r>
        <w:rPr>
          <w:rFonts w:hint="eastAsia" w:cs="仿宋_GB2312"/>
          <w:sz w:val="21"/>
          <w:szCs w:val="21"/>
          <w:lang w:eastAsia="zh-CN"/>
        </w:rPr>
        <w:t>方执【</w:t>
      </w:r>
      <w:r>
        <w:rPr>
          <w:rFonts w:hint="eastAsia" w:cs="仿宋_GB2312"/>
          <w:sz w:val="21"/>
          <w:szCs w:val="21"/>
          <w:lang w:val="en-US" w:eastAsia="zh-CN"/>
        </w:rPr>
        <w:t xml:space="preserve"> </w:t>
      </w:r>
      <w:r>
        <w:rPr>
          <w:rFonts w:hint="eastAsia" w:cs="仿宋_GB2312"/>
          <w:sz w:val="21"/>
          <w:szCs w:val="21"/>
          <w:lang w:eastAsia="zh-CN"/>
        </w:rPr>
        <w:t>】份</w:t>
      </w:r>
      <w:r>
        <w:rPr>
          <w:rFonts w:hint="eastAsia" w:cs="仿宋_GB2312"/>
          <w:sz w:val="21"/>
          <w:szCs w:val="21"/>
        </w:rPr>
        <w:t>、乙方执</w:t>
      </w:r>
      <w:r>
        <w:rPr>
          <w:rFonts w:hint="eastAsia" w:cs="仿宋_GB2312"/>
          <w:sz w:val="21"/>
          <w:szCs w:val="21"/>
          <w:lang w:val="en-US" w:eastAsia="zh-CN"/>
        </w:rPr>
        <w:t>壹</w:t>
      </w:r>
      <w:r>
        <w:rPr>
          <w:rFonts w:hint="eastAsia" w:cs="仿宋_GB2312"/>
          <w:sz w:val="21"/>
          <w:szCs w:val="21"/>
        </w:rPr>
        <w:t>份</w:t>
      </w:r>
      <w:r>
        <w:rPr>
          <w:rFonts w:hint="eastAsia" w:cs="仿宋_GB2312"/>
          <w:sz w:val="21"/>
          <w:szCs w:val="21"/>
          <w:lang w:eastAsia="zh-CN"/>
        </w:rPr>
        <w:t>，每份具有同等效力</w:t>
      </w:r>
      <w:r>
        <w:rPr>
          <w:rFonts w:hint="eastAsia" w:cs="仿宋_GB2312"/>
          <w:sz w:val="21"/>
          <w:szCs w:val="21"/>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szCs w:val="21"/>
          <w:lang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szCs w:val="21"/>
          <w:lang w:eastAsia="zh-CN"/>
        </w:rPr>
      </w:pPr>
      <w:r>
        <w:rPr>
          <w:rFonts w:hint="eastAsia" w:ascii="宋体" w:hAnsi="宋体" w:cs="仿宋_GB2312"/>
          <w:szCs w:val="21"/>
          <w:lang w:eastAsia="zh-CN"/>
        </w:rPr>
        <w:t>（以下无正文，为签字页）</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szCs w:val="21"/>
          <w:lang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szCs w:val="21"/>
          <w:lang w:eastAsia="zh-CN"/>
        </w:rPr>
      </w:pPr>
    </w:p>
    <w:tbl>
      <w:tblPr>
        <w:tblStyle w:val="10"/>
        <w:tblW w:w="0" w:type="auto"/>
        <w:jc w:val="center"/>
        <w:tblLayout w:type="fixed"/>
        <w:tblCellMar>
          <w:top w:w="0" w:type="dxa"/>
          <w:left w:w="108" w:type="dxa"/>
          <w:bottom w:w="0" w:type="dxa"/>
          <w:right w:w="108" w:type="dxa"/>
        </w:tblCellMar>
      </w:tblPr>
      <w:tblGrid>
        <w:gridCol w:w="5409"/>
        <w:gridCol w:w="4551"/>
      </w:tblGrid>
      <w:tr>
        <w:tblPrEx>
          <w:tblCellMar>
            <w:top w:w="0" w:type="dxa"/>
            <w:left w:w="108" w:type="dxa"/>
            <w:bottom w:w="0" w:type="dxa"/>
            <w:right w:w="108" w:type="dxa"/>
          </w:tblCellMar>
        </w:tblPrEx>
        <w:trPr>
          <w:trHeight w:val="1233" w:hRule="atLeast"/>
          <w:jc w:val="center"/>
        </w:trPr>
        <w:tc>
          <w:tcPr>
            <w:tcW w:w="5409"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szCs w:val="21"/>
              </w:rPr>
            </w:pPr>
            <w:r>
              <w:rPr>
                <w:rFonts w:hint="eastAsia" w:ascii="宋体" w:hAnsi="宋体" w:cs="仿宋_GB2312"/>
                <w:szCs w:val="21"/>
              </w:rPr>
              <w:t>甲方（盖章）：</w:t>
            </w:r>
            <w:r>
              <w:rPr>
                <w:rFonts w:hint="eastAsia" w:ascii="宋体" w:hAnsi="宋体" w:cs="仿宋_GB2312"/>
                <w:szCs w:val="21"/>
                <w:lang w:eastAsia="zh-CN"/>
              </w:rPr>
              <w:t>南通机场</w:t>
            </w:r>
            <w:r>
              <w:rPr>
                <w:rFonts w:hint="eastAsia" w:ascii="宋体" w:hAnsi="宋体" w:cs="仿宋_GB2312"/>
                <w:szCs w:val="21"/>
                <w:lang w:val="en-US" w:eastAsia="zh-CN"/>
              </w:rPr>
              <w:t>集团</w:t>
            </w:r>
            <w:r>
              <w:rPr>
                <w:rFonts w:hint="eastAsia" w:ascii="宋体" w:hAnsi="宋体" w:cs="仿宋_GB2312"/>
                <w:szCs w:val="21"/>
                <w:lang w:eastAsia="zh-CN"/>
              </w:rPr>
              <w:t>有限公司</w:t>
            </w:r>
          </w:p>
        </w:tc>
        <w:tc>
          <w:tcPr>
            <w:tcW w:w="4551"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szCs w:val="21"/>
              </w:rPr>
            </w:pPr>
            <w:r>
              <w:rPr>
                <w:rFonts w:hint="eastAsia" w:ascii="宋体" w:hAnsi="宋体" w:cs="仿宋_GB2312"/>
                <w:szCs w:val="21"/>
              </w:rPr>
              <w:t>乙方（盖章）：</w:t>
            </w:r>
          </w:p>
        </w:tc>
      </w:tr>
      <w:tr>
        <w:tblPrEx>
          <w:tblCellMar>
            <w:top w:w="0" w:type="dxa"/>
            <w:left w:w="108" w:type="dxa"/>
            <w:bottom w:w="0" w:type="dxa"/>
            <w:right w:w="108" w:type="dxa"/>
          </w:tblCellMar>
        </w:tblPrEx>
        <w:trPr>
          <w:trHeight w:val="364" w:hRule="atLeast"/>
          <w:jc w:val="center"/>
        </w:trPr>
        <w:tc>
          <w:tcPr>
            <w:tcW w:w="5409"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szCs w:val="21"/>
              </w:rPr>
            </w:pPr>
            <w:r>
              <w:rPr>
                <w:rFonts w:hint="eastAsia" w:ascii="宋体" w:hAnsi="宋体" w:cs="仿宋_GB2312"/>
                <w:szCs w:val="21"/>
              </w:rPr>
              <w:t>代理人（签字）：</w:t>
            </w:r>
          </w:p>
        </w:tc>
        <w:tc>
          <w:tcPr>
            <w:tcW w:w="4551"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szCs w:val="21"/>
              </w:rPr>
            </w:pPr>
            <w:r>
              <w:rPr>
                <w:rFonts w:hint="eastAsia" w:ascii="宋体" w:hAnsi="宋体" w:cs="仿宋_GB2312"/>
                <w:szCs w:val="21"/>
              </w:rPr>
              <w:t>代理人（签字）：</w:t>
            </w:r>
          </w:p>
        </w:tc>
      </w:tr>
      <w:tr>
        <w:tblPrEx>
          <w:tblCellMar>
            <w:top w:w="0" w:type="dxa"/>
            <w:left w:w="108" w:type="dxa"/>
            <w:bottom w:w="0" w:type="dxa"/>
            <w:right w:w="108" w:type="dxa"/>
          </w:tblCellMar>
        </w:tblPrEx>
        <w:trPr>
          <w:trHeight w:val="364" w:hRule="atLeast"/>
          <w:jc w:val="center"/>
        </w:trPr>
        <w:tc>
          <w:tcPr>
            <w:tcW w:w="5409"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szCs w:val="21"/>
              </w:rPr>
            </w:pPr>
          </w:p>
        </w:tc>
        <w:tc>
          <w:tcPr>
            <w:tcW w:w="4551"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szCs w:val="21"/>
              </w:rPr>
            </w:pPr>
          </w:p>
        </w:tc>
      </w:tr>
      <w:tr>
        <w:tblPrEx>
          <w:tblCellMar>
            <w:top w:w="0" w:type="dxa"/>
            <w:left w:w="108" w:type="dxa"/>
            <w:bottom w:w="0" w:type="dxa"/>
            <w:right w:w="108" w:type="dxa"/>
          </w:tblCellMar>
        </w:tblPrEx>
        <w:trPr>
          <w:trHeight w:val="364" w:hRule="atLeast"/>
          <w:jc w:val="center"/>
        </w:trPr>
        <w:tc>
          <w:tcPr>
            <w:tcW w:w="5409"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szCs w:val="21"/>
              </w:rPr>
            </w:pPr>
          </w:p>
        </w:tc>
        <w:tc>
          <w:tcPr>
            <w:tcW w:w="4551"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szCs w:val="21"/>
              </w:rPr>
            </w:pPr>
          </w:p>
        </w:tc>
      </w:tr>
      <w:tr>
        <w:tblPrEx>
          <w:tblCellMar>
            <w:top w:w="0" w:type="dxa"/>
            <w:left w:w="108" w:type="dxa"/>
            <w:bottom w:w="0" w:type="dxa"/>
            <w:right w:w="108" w:type="dxa"/>
          </w:tblCellMar>
        </w:tblPrEx>
        <w:trPr>
          <w:trHeight w:val="364" w:hRule="atLeast"/>
          <w:jc w:val="center"/>
        </w:trPr>
        <w:tc>
          <w:tcPr>
            <w:tcW w:w="5409"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szCs w:val="21"/>
              </w:rPr>
            </w:pPr>
            <w:r>
              <w:rPr>
                <w:rFonts w:hint="eastAsia" w:ascii="宋体" w:hAnsi="宋体" w:cs="仿宋_GB2312"/>
                <w:szCs w:val="21"/>
              </w:rPr>
              <w:t>日期</w:t>
            </w:r>
            <w:r>
              <w:rPr>
                <w:rFonts w:hint="eastAsia" w:ascii="宋体" w:hAnsi="宋体" w:cs="仿宋_GB2312"/>
                <w:szCs w:val="21"/>
                <w:lang w:eastAsia="zh-CN"/>
              </w:rPr>
              <w:t>：</w:t>
            </w:r>
            <w:r>
              <w:rPr>
                <w:rFonts w:hint="eastAsia" w:ascii="宋体" w:hAnsi="宋体" w:cs="仿宋_GB2312"/>
                <w:szCs w:val="21"/>
                <w:lang w:val="en-US" w:eastAsia="zh-CN"/>
              </w:rPr>
              <w:t xml:space="preserve">    </w:t>
            </w:r>
            <w:r>
              <w:rPr>
                <w:rFonts w:hint="eastAsia" w:ascii="宋体" w:hAnsi="宋体" w:cs="仿宋_GB2312"/>
                <w:szCs w:val="21"/>
                <w:lang w:eastAsia="zh-CN"/>
              </w:rPr>
              <w:t>年</w:t>
            </w:r>
            <w:r>
              <w:rPr>
                <w:rFonts w:hint="eastAsia" w:ascii="宋体" w:hAnsi="宋体" w:cs="仿宋_GB2312"/>
                <w:szCs w:val="21"/>
                <w:lang w:val="en-US" w:eastAsia="zh-CN"/>
              </w:rPr>
              <w:t xml:space="preserve">    </w:t>
            </w:r>
            <w:r>
              <w:rPr>
                <w:rFonts w:hint="eastAsia" w:ascii="宋体" w:hAnsi="宋体" w:cs="仿宋_GB2312"/>
                <w:szCs w:val="21"/>
                <w:lang w:eastAsia="zh-CN"/>
              </w:rPr>
              <w:t>月</w:t>
            </w:r>
            <w:r>
              <w:rPr>
                <w:rFonts w:hint="eastAsia" w:ascii="宋体" w:hAnsi="宋体" w:cs="仿宋_GB2312"/>
                <w:szCs w:val="21"/>
                <w:lang w:val="en-US" w:eastAsia="zh-CN"/>
              </w:rPr>
              <w:t xml:space="preserve">    </w:t>
            </w:r>
            <w:r>
              <w:rPr>
                <w:rFonts w:hint="eastAsia" w:ascii="宋体" w:hAnsi="宋体" w:cs="仿宋_GB2312"/>
                <w:szCs w:val="21"/>
                <w:lang w:eastAsia="zh-CN"/>
              </w:rPr>
              <w:t>日</w:t>
            </w:r>
          </w:p>
        </w:tc>
        <w:tc>
          <w:tcPr>
            <w:tcW w:w="4551"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s="仿宋_GB2312"/>
                <w:szCs w:val="21"/>
              </w:rPr>
            </w:pPr>
            <w:r>
              <w:rPr>
                <w:rFonts w:hint="eastAsia" w:ascii="宋体" w:hAnsi="宋体" w:cs="仿宋_GB2312"/>
                <w:szCs w:val="21"/>
              </w:rPr>
              <w:t>日期</w:t>
            </w:r>
            <w:r>
              <w:rPr>
                <w:rFonts w:hint="eastAsia" w:ascii="宋体" w:hAnsi="宋体" w:cs="仿宋_GB2312"/>
                <w:szCs w:val="21"/>
                <w:lang w:eastAsia="zh-CN"/>
              </w:rPr>
              <w:t>：</w:t>
            </w:r>
            <w:r>
              <w:rPr>
                <w:rFonts w:hint="eastAsia" w:ascii="宋体" w:hAnsi="宋体" w:cs="仿宋_GB2312"/>
                <w:szCs w:val="21"/>
                <w:lang w:val="en-US" w:eastAsia="zh-CN"/>
              </w:rPr>
              <w:t xml:space="preserve">    </w:t>
            </w:r>
            <w:r>
              <w:rPr>
                <w:rFonts w:hint="eastAsia" w:ascii="宋体" w:hAnsi="宋体" w:cs="仿宋_GB2312"/>
                <w:szCs w:val="21"/>
                <w:lang w:eastAsia="zh-CN"/>
              </w:rPr>
              <w:t>年</w:t>
            </w:r>
            <w:r>
              <w:rPr>
                <w:rFonts w:hint="eastAsia" w:ascii="宋体" w:hAnsi="宋体" w:cs="仿宋_GB2312"/>
                <w:szCs w:val="21"/>
                <w:lang w:val="en-US" w:eastAsia="zh-CN"/>
              </w:rPr>
              <w:t xml:space="preserve">    </w:t>
            </w:r>
            <w:r>
              <w:rPr>
                <w:rFonts w:hint="eastAsia" w:ascii="宋体" w:hAnsi="宋体" w:cs="仿宋_GB2312"/>
                <w:szCs w:val="21"/>
                <w:lang w:eastAsia="zh-CN"/>
              </w:rPr>
              <w:t>月</w:t>
            </w:r>
            <w:r>
              <w:rPr>
                <w:rFonts w:hint="eastAsia" w:ascii="宋体" w:hAnsi="宋体" w:cs="仿宋_GB2312"/>
                <w:szCs w:val="21"/>
                <w:lang w:val="en-US" w:eastAsia="zh-CN"/>
              </w:rPr>
              <w:t xml:space="preserve">    </w:t>
            </w:r>
            <w:r>
              <w:rPr>
                <w:rFonts w:hint="eastAsia" w:ascii="宋体" w:hAnsi="宋体" w:cs="仿宋_GB2312"/>
                <w:szCs w:val="21"/>
                <w:lang w:eastAsia="zh-CN"/>
              </w:rPr>
              <w:t>日</w:t>
            </w:r>
          </w:p>
        </w:tc>
      </w:tr>
    </w:tbl>
    <w:p>
      <w:pPr>
        <w:pStyle w:val="2"/>
        <w:rPr>
          <w:rFonts w:hint="eastAsia"/>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olor w:val="000000"/>
          <w:kern w:val="0"/>
          <w:szCs w:val="21"/>
        </w:rPr>
      </w:pPr>
    </w:p>
    <w:tbl>
      <w:tblPr>
        <w:tblStyle w:val="10"/>
        <w:tblW w:w="0" w:type="auto"/>
        <w:tblInd w:w="0" w:type="dxa"/>
        <w:tblLayout w:type="fixed"/>
        <w:tblCellMar>
          <w:top w:w="0" w:type="dxa"/>
          <w:left w:w="0" w:type="dxa"/>
          <w:bottom w:w="0" w:type="dxa"/>
          <w:right w:w="0" w:type="dxa"/>
        </w:tblCellMar>
      </w:tblPr>
      <w:tblGrid>
        <w:gridCol w:w="1190"/>
        <w:gridCol w:w="1830"/>
        <w:gridCol w:w="1093"/>
        <w:gridCol w:w="745"/>
        <w:gridCol w:w="1175"/>
        <w:gridCol w:w="745"/>
        <w:gridCol w:w="745"/>
        <w:gridCol w:w="1030"/>
        <w:gridCol w:w="1245"/>
      </w:tblGrid>
      <w:tr>
        <w:tblPrEx>
          <w:tblCellMar>
            <w:top w:w="0" w:type="dxa"/>
            <w:left w:w="0" w:type="dxa"/>
            <w:bottom w:w="0" w:type="dxa"/>
            <w:right w:w="0" w:type="dxa"/>
          </w:tblCellMar>
        </w:tblPrEx>
        <w:trPr>
          <w:trHeight w:val="800" w:hRule="atLeast"/>
        </w:trPr>
        <w:tc>
          <w:tcPr>
            <w:tcW w:w="9798"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附件一</w:t>
            </w:r>
          </w:p>
          <w:p>
            <w:pPr>
              <w:rPr>
                <w:rFonts w:hint="eastAsia"/>
                <w:lang w:val="en-US" w:eastAsia="zh-CN"/>
              </w:rPr>
            </w:pPr>
          </w:p>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44"/>
                <w:szCs w:val="44"/>
                <w:u w:val="none"/>
                <w:lang w:val="en-US" w:eastAsia="zh-CN" w:bidi="ar"/>
              </w:rPr>
              <w:t>设备验收交接单</w:t>
            </w:r>
          </w:p>
        </w:tc>
      </w:tr>
      <w:tr>
        <w:tblPrEx>
          <w:tblCellMar>
            <w:top w:w="0" w:type="dxa"/>
            <w:left w:w="0" w:type="dxa"/>
            <w:bottom w:w="0" w:type="dxa"/>
            <w:right w:w="0" w:type="dxa"/>
          </w:tblCellMar>
        </w:tblPrEx>
        <w:trPr>
          <w:trHeight w:val="500" w:hRule="atLeast"/>
        </w:trPr>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36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合同编号</w:t>
            </w:r>
          </w:p>
        </w:tc>
        <w:tc>
          <w:tcPr>
            <w:tcW w:w="376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11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供货单位</w:t>
            </w:r>
          </w:p>
        </w:tc>
        <w:tc>
          <w:tcPr>
            <w:tcW w:w="3668" w:type="dxa"/>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供货负责人</w:t>
            </w:r>
          </w:p>
        </w:tc>
        <w:tc>
          <w:tcPr>
            <w:tcW w:w="376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r>
      <w:tr>
        <w:tblPrEx>
          <w:tblCellMar>
            <w:top w:w="0" w:type="dxa"/>
            <w:left w:w="0" w:type="dxa"/>
            <w:bottom w:w="0" w:type="dxa"/>
            <w:right w:w="0" w:type="dxa"/>
          </w:tblCellMar>
        </w:tblPrEx>
        <w:trPr>
          <w:trHeight w:val="360" w:hRule="atLeast"/>
        </w:trPr>
        <w:tc>
          <w:tcPr>
            <w:tcW w:w="11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68" w:type="dxa"/>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6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电话：</w:t>
            </w:r>
          </w:p>
        </w:tc>
      </w:tr>
      <w:tr>
        <w:tblPrEx>
          <w:tblCellMar>
            <w:top w:w="0" w:type="dxa"/>
            <w:left w:w="0" w:type="dxa"/>
            <w:bottom w:w="0" w:type="dxa"/>
            <w:right w:w="0" w:type="dxa"/>
          </w:tblCellMar>
        </w:tblPrEx>
        <w:trPr>
          <w:trHeight w:val="520" w:hRule="atLeast"/>
        </w:trPr>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验收地点</w:t>
            </w:r>
          </w:p>
        </w:tc>
        <w:tc>
          <w:tcPr>
            <w:tcW w:w="36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验收日期</w:t>
            </w:r>
          </w:p>
        </w:tc>
        <w:tc>
          <w:tcPr>
            <w:tcW w:w="376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20" w:hRule="atLeast"/>
        </w:trPr>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设备名称</w:t>
            </w:r>
          </w:p>
        </w:tc>
        <w:tc>
          <w:tcPr>
            <w:tcW w:w="10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生产商</w:t>
            </w:r>
          </w:p>
        </w:tc>
        <w:tc>
          <w:tcPr>
            <w:tcW w:w="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品牌</w:t>
            </w:r>
          </w:p>
        </w:tc>
        <w:tc>
          <w:tcPr>
            <w:tcW w:w="1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1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单价（元）</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金额（元）</w:t>
            </w:r>
          </w:p>
        </w:tc>
      </w:tr>
      <w:tr>
        <w:tblPrEx>
          <w:tblCellMar>
            <w:top w:w="0" w:type="dxa"/>
            <w:left w:w="0" w:type="dxa"/>
            <w:bottom w:w="0" w:type="dxa"/>
            <w:right w:w="0" w:type="dxa"/>
          </w:tblCellMar>
        </w:tblPrEx>
        <w:trPr>
          <w:trHeight w:val="520" w:hRule="atLeast"/>
        </w:trPr>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20" w:hRule="atLeast"/>
        </w:trPr>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20" w:hRule="atLeast"/>
        </w:trPr>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20" w:hRule="atLeast"/>
        </w:trPr>
        <w:tc>
          <w:tcPr>
            <w:tcW w:w="6778"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20" w:hRule="atLeast"/>
        </w:trPr>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验收内容</w:t>
            </w:r>
          </w:p>
        </w:tc>
        <w:tc>
          <w:tcPr>
            <w:tcW w:w="36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供货单位自查</w:t>
            </w:r>
          </w:p>
        </w:tc>
        <w:tc>
          <w:tcPr>
            <w:tcW w:w="494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验收单位结论</w:t>
            </w:r>
          </w:p>
        </w:tc>
      </w:tr>
      <w:tr>
        <w:tblPrEx>
          <w:tblCellMar>
            <w:top w:w="0" w:type="dxa"/>
            <w:left w:w="0" w:type="dxa"/>
            <w:bottom w:w="0" w:type="dxa"/>
            <w:right w:w="0" w:type="dxa"/>
          </w:tblCellMar>
        </w:tblPrEx>
        <w:trPr>
          <w:trHeight w:val="375" w:hRule="atLeast"/>
        </w:trPr>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技术参数</w:t>
            </w:r>
          </w:p>
        </w:tc>
        <w:tc>
          <w:tcPr>
            <w:tcW w:w="366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4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设备品牌</w:t>
            </w:r>
          </w:p>
        </w:tc>
        <w:tc>
          <w:tcPr>
            <w:tcW w:w="366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4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0" w:hRule="atLeast"/>
        </w:trPr>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366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4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设备外观</w:t>
            </w:r>
          </w:p>
        </w:tc>
        <w:tc>
          <w:tcPr>
            <w:tcW w:w="366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4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设备数量</w:t>
            </w:r>
          </w:p>
        </w:tc>
        <w:tc>
          <w:tcPr>
            <w:tcW w:w="366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4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备件配件</w:t>
            </w:r>
          </w:p>
        </w:tc>
        <w:tc>
          <w:tcPr>
            <w:tcW w:w="366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4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专用工具</w:t>
            </w:r>
          </w:p>
        </w:tc>
        <w:tc>
          <w:tcPr>
            <w:tcW w:w="366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4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0" w:hRule="atLeast"/>
        </w:trPr>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文档资料</w:t>
            </w:r>
          </w:p>
        </w:tc>
        <w:tc>
          <w:tcPr>
            <w:tcW w:w="366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4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trPr>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设备试行</w:t>
            </w:r>
          </w:p>
        </w:tc>
        <w:tc>
          <w:tcPr>
            <w:tcW w:w="366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4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60" w:hRule="atLeast"/>
        </w:trPr>
        <w:tc>
          <w:tcPr>
            <w:tcW w:w="1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验收结论</w:t>
            </w:r>
          </w:p>
        </w:tc>
        <w:tc>
          <w:tcPr>
            <w:tcW w:w="8608"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30" w:hRule="atLeast"/>
        </w:trPr>
        <w:tc>
          <w:tcPr>
            <w:tcW w:w="11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参加验收单位</w:t>
            </w:r>
          </w:p>
        </w:tc>
        <w:tc>
          <w:tcPr>
            <w:tcW w:w="36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供货单位（盖章）</w:t>
            </w:r>
          </w:p>
        </w:tc>
        <w:tc>
          <w:tcPr>
            <w:tcW w:w="494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验收单位（盖章）</w:t>
            </w:r>
          </w:p>
        </w:tc>
      </w:tr>
      <w:tr>
        <w:tblPrEx>
          <w:tblCellMar>
            <w:top w:w="0" w:type="dxa"/>
            <w:left w:w="0" w:type="dxa"/>
            <w:bottom w:w="0" w:type="dxa"/>
            <w:right w:w="0" w:type="dxa"/>
          </w:tblCellMar>
        </w:tblPrEx>
        <w:trPr>
          <w:trHeight w:val="2340" w:hRule="atLeast"/>
        </w:trPr>
        <w:tc>
          <w:tcPr>
            <w:tcW w:w="11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jc w:val="center"/>
              <w:rPr>
                <w:rFonts w:hint="eastAsia" w:ascii="宋体" w:hAnsi="宋体" w:eastAsia="宋体" w:cs="宋体"/>
                <w:i w:val="0"/>
                <w:color w:val="000000"/>
                <w:sz w:val="22"/>
                <w:szCs w:val="22"/>
                <w:u w:val="none"/>
              </w:rPr>
            </w:pPr>
          </w:p>
        </w:tc>
        <w:tc>
          <w:tcPr>
            <w:tcW w:w="366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供货负责人：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日期：  年  月  日</w:t>
            </w:r>
          </w:p>
        </w:tc>
        <w:tc>
          <w:tcPr>
            <w:tcW w:w="494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p>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验收负责人：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日期：  年  月  日</w:t>
            </w:r>
          </w:p>
        </w:tc>
      </w:tr>
      <w:tr>
        <w:tblPrEx>
          <w:tblCellMar>
            <w:top w:w="0" w:type="dxa"/>
            <w:left w:w="0" w:type="dxa"/>
            <w:bottom w:w="0" w:type="dxa"/>
            <w:right w:w="0" w:type="dxa"/>
          </w:tblCellMar>
        </w:tblPrEx>
        <w:trPr>
          <w:trHeight w:val="270" w:hRule="atLeast"/>
        </w:trPr>
        <w:tc>
          <w:tcPr>
            <w:tcW w:w="9798"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注：一式四份，双方各二份</w:t>
            </w:r>
          </w:p>
        </w:tc>
      </w:tr>
    </w:tbl>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color w:val="000000"/>
          <w:kern w:val="0"/>
          <w:szCs w:val="21"/>
        </w:rPr>
      </w:pPr>
    </w:p>
    <w:p>
      <w:pPr>
        <w:numPr>
          <w:ilvl w:val="0"/>
          <w:numId w:val="0"/>
        </w:numPr>
        <w:rPr>
          <w:rFonts w:hint="eastAsia" w:ascii="宋体" w:hAnsi="宋体" w:eastAsia="宋体" w:cs="宋体"/>
          <w:color w:val="000000"/>
          <w:sz w:val="21"/>
          <w:szCs w:val="21"/>
          <w:highlight w:val="none"/>
        </w:rPr>
      </w:pPr>
    </w:p>
    <w:p>
      <w:pPr>
        <w:pStyle w:val="5"/>
        <w:pageBreakBefore w:val="0"/>
        <w:kinsoku/>
        <w:wordWrap/>
        <w:overflowPunct/>
        <w:bidi w:val="0"/>
        <w:spacing w:before="157" w:beforeLines="50" w:after="157" w:afterLines="50" w:line="30" w:lineRule="atLeast"/>
        <w:rPr>
          <w:rFonts w:hint="eastAsia"/>
          <w:highlight w:val="none"/>
        </w:rPr>
      </w:pPr>
    </w:p>
    <w:p>
      <w:pPr>
        <w:rPr>
          <w:rFonts w:hint="default"/>
          <w:highlight w:val="none"/>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2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F00CFE"/>
    <w:multiLevelType w:val="singleLevel"/>
    <w:tmpl w:val="BBF00CFE"/>
    <w:lvl w:ilvl="0" w:tentative="0">
      <w:start w:val="1"/>
      <w:numFmt w:val="decimalEnclosedCircleChinese"/>
      <w:suff w:val="nothing"/>
      <w:lvlText w:val="%1　"/>
      <w:lvlJc w:val="left"/>
      <w:pPr>
        <w:ind w:left="0" w:firstLine="400"/>
      </w:pPr>
      <w:rPr>
        <w:rFonts w:hint="eastAsia"/>
      </w:rPr>
    </w:lvl>
  </w:abstractNum>
  <w:abstractNum w:abstractNumId="1">
    <w:nsid w:val="11923D21"/>
    <w:multiLevelType w:val="multilevel"/>
    <w:tmpl w:val="11923D21"/>
    <w:lvl w:ilvl="0" w:tentative="0">
      <w:start w:val="1"/>
      <w:numFmt w:val="decimal"/>
      <w:lvlText w:val="%1."/>
      <w:lvlJc w:val="left"/>
      <w:pPr>
        <w:tabs>
          <w:tab w:val="left" w:pos="425"/>
        </w:tabs>
        <w:ind w:left="425" w:hanging="425"/>
      </w:pPr>
      <w:rPr>
        <w:rFonts w:hint="eastAsia" w:ascii="宋体" w:hAnsi="宋体" w:eastAsia="宋体"/>
      </w:rPr>
    </w:lvl>
    <w:lvl w:ilvl="1" w:tentative="0">
      <w:start w:val="1"/>
      <w:numFmt w:val="decimal"/>
      <w:lvlText w:val="%1.%2"/>
      <w:lvlJc w:val="left"/>
      <w:pPr>
        <w:tabs>
          <w:tab w:val="left" w:pos="567"/>
        </w:tabs>
        <w:ind w:left="567" w:hanging="567"/>
      </w:pPr>
      <w:rPr>
        <w:rFonts w:hint="eastAsia" w:ascii="宋体" w:hAnsi="宋体" w:eastAsia="宋体"/>
        <w:b w:val="0"/>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342A36F4"/>
    <w:multiLevelType w:val="singleLevel"/>
    <w:tmpl w:val="342A36F4"/>
    <w:lvl w:ilvl="0" w:tentative="0">
      <w:start w:val="2"/>
      <w:numFmt w:val="chineseCounting"/>
      <w:suff w:val="nothing"/>
      <w:lvlText w:val="%1、"/>
      <w:lvlJc w:val="left"/>
      <w:pPr>
        <w:ind w:left="-62"/>
      </w:pPr>
      <w:rPr>
        <w:rFonts w:hint="eastAsia" w:ascii="黑体" w:hAnsi="黑体" w:eastAsia="黑体" w:cs="黑体"/>
        <w:b/>
        <w:bCs/>
        <w:sz w:val="24"/>
        <w:szCs w:val="24"/>
      </w:rPr>
    </w:lvl>
  </w:abstractNum>
  <w:abstractNum w:abstractNumId="3">
    <w:nsid w:val="69F9E59A"/>
    <w:multiLevelType w:val="singleLevel"/>
    <w:tmpl w:val="69F9E59A"/>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yZThmZDJhODBiZWU0NGE5OTQ3ODIxNTkzNjMwZjIifQ=="/>
  </w:docVars>
  <w:rsids>
    <w:rsidRoot w:val="77660E3A"/>
    <w:rsid w:val="01C9067B"/>
    <w:rsid w:val="02F90EBC"/>
    <w:rsid w:val="03854049"/>
    <w:rsid w:val="04FC4E90"/>
    <w:rsid w:val="06250FB8"/>
    <w:rsid w:val="06DA54B4"/>
    <w:rsid w:val="0DF57D79"/>
    <w:rsid w:val="0E225A1B"/>
    <w:rsid w:val="11AB1DE6"/>
    <w:rsid w:val="1260316B"/>
    <w:rsid w:val="13D824C1"/>
    <w:rsid w:val="189E5A96"/>
    <w:rsid w:val="1BEF751D"/>
    <w:rsid w:val="1D5F4B3A"/>
    <w:rsid w:val="1D6B496C"/>
    <w:rsid w:val="21DA3525"/>
    <w:rsid w:val="21DB317A"/>
    <w:rsid w:val="225E6E11"/>
    <w:rsid w:val="22DC127C"/>
    <w:rsid w:val="22E72171"/>
    <w:rsid w:val="273E0B15"/>
    <w:rsid w:val="28F701E4"/>
    <w:rsid w:val="298653C8"/>
    <w:rsid w:val="2A084612"/>
    <w:rsid w:val="2A5A5E7E"/>
    <w:rsid w:val="2A7D7E6E"/>
    <w:rsid w:val="2D957542"/>
    <w:rsid w:val="30815554"/>
    <w:rsid w:val="310831DC"/>
    <w:rsid w:val="318971DE"/>
    <w:rsid w:val="31941FE5"/>
    <w:rsid w:val="358A512C"/>
    <w:rsid w:val="39230DE1"/>
    <w:rsid w:val="3A9942C4"/>
    <w:rsid w:val="3C265A24"/>
    <w:rsid w:val="3FB770C7"/>
    <w:rsid w:val="3FD10573"/>
    <w:rsid w:val="41020638"/>
    <w:rsid w:val="43FB4527"/>
    <w:rsid w:val="44DE708D"/>
    <w:rsid w:val="47653809"/>
    <w:rsid w:val="47C4235B"/>
    <w:rsid w:val="49934E96"/>
    <w:rsid w:val="4AC924D8"/>
    <w:rsid w:val="4D6A620A"/>
    <w:rsid w:val="4E4125E8"/>
    <w:rsid w:val="562275FD"/>
    <w:rsid w:val="579D2C18"/>
    <w:rsid w:val="58326D5E"/>
    <w:rsid w:val="58440B80"/>
    <w:rsid w:val="58C00BAB"/>
    <w:rsid w:val="5E995DA3"/>
    <w:rsid w:val="5FDB0BAF"/>
    <w:rsid w:val="60C13566"/>
    <w:rsid w:val="613260A0"/>
    <w:rsid w:val="61E832E0"/>
    <w:rsid w:val="62897F29"/>
    <w:rsid w:val="64587D31"/>
    <w:rsid w:val="66490F90"/>
    <w:rsid w:val="66FA0692"/>
    <w:rsid w:val="69F05C67"/>
    <w:rsid w:val="6CAB62BA"/>
    <w:rsid w:val="708159DE"/>
    <w:rsid w:val="7507628F"/>
    <w:rsid w:val="75740386"/>
    <w:rsid w:val="77660E3A"/>
    <w:rsid w:val="785B2343"/>
    <w:rsid w:val="7A742FD5"/>
    <w:rsid w:val="7A7A5476"/>
    <w:rsid w:val="7C796B83"/>
    <w:rsid w:val="7D7C7677"/>
    <w:rsid w:val="7F1A5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1"/>
    <w:qFormat/>
    <w:uiPriority w:val="0"/>
    <w:rPr>
      <w:rFonts w:ascii="仿宋_GB2312" w:eastAsia="仿宋_GB2312"/>
      <w:kern w:val="0"/>
      <w:sz w:val="24"/>
      <w:szCs w:val="20"/>
    </w:rPr>
  </w:style>
  <w:style w:type="paragraph" w:styleId="6">
    <w:name w:val="Plain Text"/>
    <w:basedOn w:val="1"/>
    <w:qFormat/>
    <w:uiPriority w:val="99"/>
    <w:rPr>
      <w:rFonts w:ascii="宋体" w:hAnsi="Courier New"/>
      <w:sz w:val="28"/>
      <w:szCs w:val="20"/>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99"/>
    <w:pPr>
      <w:spacing w:beforeAutospacing="1" w:afterAutospacing="1"/>
      <w:jc w:val="left"/>
    </w:pPr>
    <w:rPr>
      <w:kern w:val="0"/>
      <w:sz w:val="24"/>
    </w:rPr>
  </w:style>
  <w:style w:type="character" w:styleId="12">
    <w:name w:val="page number"/>
    <w:basedOn w:val="11"/>
    <w:qFormat/>
    <w:uiPriority w:val="99"/>
    <w:rPr>
      <w:rFonts w:cs="Times New Roman"/>
    </w:rPr>
  </w:style>
  <w:style w:type="paragraph" w:customStyle="1" w:styleId="13">
    <w:name w:val="第二层标题"/>
    <w:basedOn w:val="2"/>
    <w:qFormat/>
    <w:uiPriority w:val="0"/>
    <w:pPr>
      <w:spacing w:before="140" w:after="140" w:line="400" w:lineRule="exact"/>
    </w:pPr>
    <w:rPr>
      <w:b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10090</Words>
  <Characters>10360</Characters>
  <Lines>0</Lines>
  <Paragraphs>0</Paragraphs>
  <TotalTime>168</TotalTime>
  <ScaleCrop>false</ScaleCrop>
  <LinksUpToDate>false</LinksUpToDate>
  <CharactersWithSpaces>11086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2022-03-08T02:03:00Z</dcterms:created>
  <dc:creator>季风</dc:creator>
  <cp:lastModifiedBy>季风</cp:lastModifiedBy>
  <dcterms:modified xsi:type="dcterms:W3CDTF">2022-05-23T03:40:27Z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6EE8A672E31147E8AD4626F4E5C582D2</vt:lpwstr>
  </property>
</Properties>
</file>